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2F290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微软雅黑" w:hAnsi="微软雅黑" w:eastAsia="微软雅黑" w:cs="微软雅黑"/>
          <w:b w:val="0"/>
          <w:bCs/>
          <w:snapToGrid/>
          <w:color w:val="auto"/>
          <w:kern w:val="2"/>
          <w:sz w:val="30"/>
          <w:szCs w:val="30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b w:val="0"/>
          <w:bCs/>
          <w:snapToGrid/>
          <w:color w:val="auto"/>
          <w:kern w:val="2"/>
          <w:sz w:val="30"/>
          <w:szCs w:val="30"/>
          <w:highlight w:val="none"/>
          <w:lang w:val="en-US" w:eastAsia="zh-CN"/>
        </w:rPr>
        <w:t>四川</w:t>
      </w:r>
      <w:r>
        <w:rPr>
          <w:rFonts w:hint="eastAsia" w:ascii="微软雅黑" w:hAnsi="微软雅黑" w:eastAsia="微软雅黑" w:cs="微软雅黑"/>
          <w:b w:val="0"/>
          <w:bCs/>
          <w:snapToGrid/>
          <w:color w:val="auto"/>
          <w:kern w:val="2"/>
          <w:sz w:val="30"/>
          <w:szCs w:val="30"/>
          <w:highlight w:val="none"/>
          <w:lang w:eastAsia="zh-CN"/>
        </w:rPr>
        <w:t>省职业院校技能大赛</w:t>
      </w:r>
    </w:p>
    <w:p w14:paraId="77CFD29F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微软雅黑" w:hAnsi="微软雅黑" w:eastAsia="微软雅黑" w:cs="微软雅黑"/>
          <w:b w:val="0"/>
          <w:bCs/>
          <w:snapToGrid/>
          <w:color w:val="auto"/>
          <w:kern w:val="2"/>
          <w:sz w:val="30"/>
          <w:szCs w:val="30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b w:val="0"/>
          <w:bCs/>
          <w:snapToGrid/>
          <w:color w:val="auto"/>
          <w:kern w:val="2"/>
          <w:sz w:val="30"/>
          <w:szCs w:val="30"/>
          <w:highlight w:val="none"/>
          <w:lang w:eastAsia="zh-CN"/>
        </w:rPr>
        <w:t>“建设工程数字化计量与计价” 赛项任务书</w:t>
      </w:r>
    </w:p>
    <w:p w14:paraId="68DD0C6F">
      <w:pPr>
        <w:pStyle w:val="4"/>
        <w:spacing w:before="199" w:line="211" w:lineRule="auto"/>
        <w:ind w:left="634"/>
        <w:rPr>
          <w:rFonts w:hint="eastAsia" w:ascii="等线" w:hAnsi="等线" w:eastAsia="等线" w:cs="等线"/>
          <w:b/>
          <w:bCs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等线" w:hAnsi="等线" w:eastAsia="等线" w:cs="等线"/>
          <w:b/>
          <w:bCs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  <w:t>模块二 投标报价文件编制与价款调整（总分 ：100 分）</w:t>
      </w:r>
    </w:p>
    <w:p w14:paraId="0AF48A82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80" w:firstLineChars="200"/>
        <w:textAlignment w:val="baseline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本模块满分为 100 分 ，占竞赛团体总分权重 30%。 内容包括三部分 ：建筑与装饰工程投标报价文件的编制、安装工程投标报价文件的编制、价款调整。比赛形式为团队赛 ，比赛时长为 120 分钟。</w:t>
      </w:r>
    </w:p>
    <w:p w14:paraId="6E75E232">
      <w:pPr>
        <w:pStyle w:val="4"/>
        <w:numPr>
          <w:ilvl w:val="0"/>
          <w:numId w:val="1"/>
        </w:numPr>
        <w:spacing w:before="170" w:line="608" w:lineRule="exact"/>
        <w:ind w:left="495"/>
        <w:rPr>
          <w:b/>
          <w:bCs/>
          <w:color w:val="auto"/>
          <w:spacing w:val="-3"/>
          <w:position w:val="25"/>
          <w:highlight w:val="none"/>
        </w:rPr>
      </w:pPr>
      <w:r>
        <w:rPr>
          <w:rFonts w:hint="eastAsia"/>
          <w:b/>
          <w:bCs/>
          <w:color w:val="auto"/>
          <w:spacing w:val="-2"/>
          <w:position w:val="25"/>
          <w:highlight w:val="none"/>
          <w:lang w:val="en-US" w:eastAsia="zh-CN"/>
        </w:rPr>
        <w:t xml:space="preserve"> </w:t>
      </w:r>
      <w:r>
        <w:rPr>
          <w:b/>
          <w:bCs/>
          <w:color w:val="auto"/>
          <w:spacing w:val="-2"/>
          <w:position w:val="25"/>
          <w:highlight w:val="none"/>
        </w:rPr>
        <w:t>建筑与装饰工程</w:t>
      </w:r>
      <w:r>
        <w:rPr>
          <w:rFonts w:hint="eastAsia"/>
          <w:b/>
          <w:bCs/>
          <w:color w:val="auto"/>
          <w:spacing w:val="-2"/>
          <w:position w:val="25"/>
          <w:highlight w:val="none"/>
          <w:lang w:val="en-US" w:eastAsia="zh-CN"/>
        </w:rPr>
        <w:t>投标报价文件的编制</w:t>
      </w:r>
      <w:r>
        <w:rPr>
          <w:b/>
          <w:bCs/>
          <w:color w:val="auto"/>
          <w:spacing w:val="-3"/>
          <w:position w:val="25"/>
          <w:highlight w:val="none"/>
        </w:rPr>
        <w:t xml:space="preserve">（ </w:t>
      </w:r>
      <w:r>
        <w:rPr>
          <w:rFonts w:hint="eastAsia"/>
          <w:b/>
          <w:bCs/>
          <w:color w:val="auto"/>
          <w:spacing w:val="-3"/>
          <w:position w:val="25"/>
          <w:highlight w:val="none"/>
          <w:lang w:val="en-US" w:eastAsia="zh-CN"/>
        </w:rPr>
        <w:t>5</w:t>
      </w:r>
      <w:r>
        <w:rPr>
          <w:b/>
          <w:bCs/>
          <w:color w:val="auto"/>
          <w:spacing w:val="-3"/>
          <w:position w:val="25"/>
          <w:highlight w:val="none"/>
        </w:rPr>
        <w:t>0 分）</w:t>
      </w:r>
    </w:p>
    <w:p w14:paraId="4AE6217B">
      <w:pPr>
        <w:pStyle w:val="12"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outlineLvl w:val="1"/>
        <w:rPr>
          <w:rFonts w:hint="eastAsia" w:ascii="微软雅黑" w:hAnsi="微软雅黑" w:eastAsia="微软雅黑" w:cs="微软雅黑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pacing w:val="0"/>
          <w:kern w:val="0"/>
          <w:sz w:val="24"/>
          <w:szCs w:val="24"/>
          <w:highlight w:val="none"/>
          <w:lang w:eastAsia="zh-CN" w:bidi="ar"/>
        </w:rPr>
        <w:t>1</w:t>
      </w:r>
      <w:r>
        <w:rPr>
          <w:rFonts w:hint="eastAsia" w:ascii="微软雅黑" w:hAnsi="微软雅黑" w:eastAsia="微软雅黑" w:cs="微软雅黑"/>
          <w:b/>
          <w:bCs/>
          <w:color w:val="auto"/>
          <w:spacing w:val="0"/>
          <w:kern w:val="0"/>
          <w:sz w:val="24"/>
          <w:szCs w:val="24"/>
          <w:highlight w:val="none"/>
          <w:lang w:val="en-US" w:eastAsia="zh-CN" w:bidi="ar"/>
        </w:rPr>
        <w:t>.</w:t>
      </w:r>
      <w:r>
        <w:rPr>
          <w:rFonts w:hint="eastAsia" w:ascii="微软雅黑" w:hAnsi="微软雅黑" w:eastAsia="微软雅黑" w:cs="微软雅黑"/>
          <w:b/>
          <w:bCs/>
          <w:color w:val="auto"/>
          <w:spacing w:val="0"/>
          <w:kern w:val="0"/>
          <w:sz w:val="24"/>
          <w:szCs w:val="24"/>
          <w:highlight w:val="none"/>
          <w:lang w:eastAsia="zh-CN" w:bidi="ar"/>
        </w:rPr>
        <w:t>新建工程及工程设置</w:t>
      </w:r>
    </w:p>
    <w:p w14:paraId="6CF275A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微软雅黑" w:hAnsi="微软雅黑" w:eastAsia="微软雅黑" w:cs="微软雅黑"/>
          <w:color w:val="auto"/>
          <w:sz w:val="24"/>
          <w:highlight w:val="none"/>
          <w:lang w:val="en-US"/>
        </w:rPr>
      </w:pP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lang w:val="en-US" w:eastAsia="zh-CN" w:bidi="ar"/>
        </w:rPr>
        <w:t>根据提供的招标清单，完成计价工程的创建，计税模式选用增值税（一般计税法），规范选用《建设工程工程量清单计价规范》(GB50500-2013)、《房屋建筑与装饰工程工程量清单计算规范》(GB50854-2013)、《四川省建设工程工程量清单计价定额》（2020 版）。</w:t>
      </w:r>
    </w:p>
    <w:p w14:paraId="0E4D805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微软雅黑" w:hAnsi="微软雅黑" w:eastAsia="微软雅黑" w:cs="微软雅黑"/>
          <w:color w:val="auto"/>
          <w:sz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lang w:val="en-US" w:eastAsia="zh-CN" w:bidi="ar"/>
        </w:rPr>
        <w:t>本工程项目名称：某幼儿园，建筑面积：5082.57㎡，结构类型：框架-剪力墙结构，项目位置：成都市市区。</w:t>
      </w:r>
    </w:p>
    <w:p w14:paraId="52F9D97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lang w:val="en-US" w:eastAsia="zh-CN" w:bidi="ar"/>
        </w:rPr>
        <w:t>已公示投标最高限价：8834050.59元，大写：捌佰捌拾叁万肆仟零伍拾元伍角玖分。</w:t>
      </w:r>
    </w:p>
    <w:p w14:paraId="4D59BCBB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baseline"/>
        <w:outlineLvl w:val="9"/>
        <w:rPr>
          <w:rFonts w:hint="eastAsia" w:ascii="微软雅黑" w:hAnsi="微软雅黑" w:eastAsia="微软雅黑" w:cs="微软雅黑"/>
          <w:b/>
          <w:bCs/>
          <w:color w:val="auto"/>
          <w:kern w:val="0"/>
          <w:sz w:val="24"/>
          <w:szCs w:val="24"/>
          <w:highlight w:val="none"/>
          <w:lang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pacing w:val="0"/>
          <w:kern w:val="0"/>
          <w:sz w:val="24"/>
          <w:szCs w:val="24"/>
          <w:highlight w:val="none"/>
          <w:lang w:eastAsia="zh-CN" w:bidi="ar"/>
        </w:rPr>
        <w:t>2</w:t>
      </w:r>
      <w:r>
        <w:rPr>
          <w:rFonts w:hint="eastAsia" w:ascii="微软雅黑" w:hAnsi="微软雅黑" w:eastAsia="微软雅黑" w:cs="微软雅黑"/>
          <w:b/>
          <w:bCs/>
          <w:color w:val="auto"/>
          <w:spacing w:val="0"/>
          <w:kern w:val="0"/>
          <w:sz w:val="24"/>
          <w:szCs w:val="24"/>
          <w:highlight w:val="none"/>
          <w:lang w:val="en-US" w:eastAsia="zh-CN" w:bidi="ar"/>
        </w:rPr>
        <w:t>.</w:t>
      </w:r>
      <w:r>
        <w:rPr>
          <w:rFonts w:hint="eastAsia" w:ascii="微软雅黑" w:hAnsi="微软雅黑" w:eastAsia="微软雅黑" w:cs="微软雅黑"/>
          <w:b/>
          <w:bCs/>
          <w:color w:val="auto"/>
          <w:spacing w:val="0"/>
          <w:kern w:val="0"/>
          <w:sz w:val="24"/>
          <w:szCs w:val="24"/>
          <w:highlight w:val="none"/>
          <w:lang w:eastAsia="zh-CN" w:bidi="ar"/>
        </w:rPr>
        <w:t>分部分项工程费</w:t>
      </w:r>
      <w:r>
        <w:rPr>
          <w:rFonts w:hint="eastAsia" w:ascii="微软雅黑" w:hAnsi="微软雅黑" w:eastAsia="微软雅黑" w:cs="微软雅黑"/>
          <w:b/>
          <w:bCs/>
          <w:color w:val="auto"/>
          <w:spacing w:val="0"/>
          <w:kern w:val="0"/>
          <w:sz w:val="24"/>
          <w:szCs w:val="24"/>
          <w:highlight w:val="none"/>
          <w:lang w:val="en-US" w:eastAsia="zh-CN" w:bidi="ar"/>
        </w:rPr>
        <w:t>与单价措施项目</w:t>
      </w:r>
      <w:r>
        <w:rPr>
          <w:rFonts w:hint="eastAsia" w:ascii="微软雅黑" w:hAnsi="微软雅黑" w:eastAsia="微软雅黑" w:cs="微软雅黑"/>
          <w:b/>
          <w:bCs/>
          <w:color w:val="auto"/>
          <w:spacing w:val="0"/>
          <w:kern w:val="0"/>
          <w:sz w:val="24"/>
          <w:szCs w:val="24"/>
          <w:highlight w:val="none"/>
          <w:lang w:eastAsia="zh-CN" w:bidi="ar"/>
        </w:rPr>
        <w:t>组价与调价</w:t>
      </w:r>
    </w:p>
    <w:p w14:paraId="6868062A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spacing w:val="0"/>
          <w:kern w:val="0"/>
          <w:position w:val="0"/>
          <w:sz w:val="24"/>
          <w:szCs w:val="24"/>
          <w:highlight w:val="none"/>
          <w:lang w:eastAsia="zh-CN" w:bidi="ar"/>
        </w:rPr>
      </w:pPr>
      <w:r>
        <w:rPr>
          <w:rFonts w:hint="eastAsia" w:ascii="微软雅黑" w:hAnsi="微软雅黑" w:eastAsia="微软雅黑" w:cs="微软雅黑"/>
          <w:color w:val="auto"/>
          <w:spacing w:val="0"/>
          <w:kern w:val="0"/>
          <w:position w:val="0"/>
          <w:sz w:val="24"/>
          <w:szCs w:val="24"/>
          <w:highlight w:val="none"/>
          <w:lang w:eastAsia="zh-CN" w:bidi="ar"/>
        </w:rPr>
        <w:t>根据所给出的分部分项工程量清单报表，结合《</w:t>
      </w:r>
      <w:r>
        <w:rPr>
          <w:rFonts w:hint="eastAsia" w:ascii="微软雅黑" w:hAnsi="微软雅黑" w:eastAsia="微软雅黑" w:cs="微软雅黑"/>
          <w:color w:val="auto"/>
          <w:spacing w:val="0"/>
          <w:kern w:val="0"/>
          <w:position w:val="0"/>
          <w:sz w:val="24"/>
          <w:szCs w:val="24"/>
          <w:highlight w:val="none"/>
          <w:lang w:val="en-US" w:eastAsia="zh-CN" w:bidi="ar"/>
        </w:rPr>
        <w:t>四川省建设工程工程量清单计价定额</w:t>
      </w:r>
      <w:r>
        <w:rPr>
          <w:rFonts w:hint="eastAsia" w:ascii="微软雅黑" w:hAnsi="微软雅黑" w:eastAsia="微软雅黑" w:cs="微软雅黑"/>
          <w:color w:val="auto"/>
          <w:spacing w:val="0"/>
          <w:kern w:val="0"/>
          <w:position w:val="0"/>
          <w:sz w:val="24"/>
          <w:szCs w:val="24"/>
          <w:highlight w:val="none"/>
          <w:lang w:eastAsia="zh-CN" w:bidi="ar"/>
        </w:rPr>
        <w:t>》（</w:t>
      </w:r>
      <w:r>
        <w:rPr>
          <w:rFonts w:hint="eastAsia" w:ascii="微软雅黑" w:hAnsi="微软雅黑" w:eastAsia="微软雅黑" w:cs="微软雅黑"/>
          <w:color w:val="auto"/>
          <w:spacing w:val="0"/>
          <w:kern w:val="0"/>
          <w:position w:val="0"/>
          <w:sz w:val="24"/>
          <w:szCs w:val="24"/>
          <w:highlight w:val="none"/>
          <w:lang w:val="en-US" w:eastAsia="zh-CN" w:bidi="ar"/>
        </w:rPr>
        <w:t>2020</w:t>
      </w:r>
      <w:r>
        <w:rPr>
          <w:rFonts w:hint="eastAsia" w:ascii="微软雅黑" w:hAnsi="微软雅黑" w:eastAsia="微软雅黑" w:cs="微软雅黑"/>
          <w:color w:val="auto"/>
          <w:spacing w:val="0"/>
          <w:kern w:val="0"/>
          <w:position w:val="0"/>
          <w:sz w:val="24"/>
          <w:szCs w:val="24"/>
          <w:highlight w:val="none"/>
          <w:lang w:eastAsia="zh-CN" w:bidi="ar"/>
        </w:rPr>
        <w:t xml:space="preserve"> 版），完成工程组价，并按项目特征描述进行换算。</w:t>
      </w:r>
    </w:p>
    <w:p w14:paraId="1DF6B10A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default" w:ascii="微软雅黑" w:hAnsi="微软雅黑" w:eastAsia="微软雅黑" w:cs="微软雅黑"/>
          <w:snapToGrid w:val="0"/>
          <w:color w:val="auto"/>
          <w:spacing w:val="0"/>
          <w:kern w:val="0"/>
          <w:positio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snapToGrid w:val="0"/>
          <w:color w:val="auto"/>
          <w:spacing w:val="0"/>
          <w:kern w:val="0"/>
          <w:position w:val="0"/>
          <w:sz w:val="24"/>
          <w:szCs w:val="24"/>
          <w:highlight w:val="none"/>
          <w:lang w:val="en-US" w:eastAsia="zh-CN" w:bidi="ar"/>
        </w:rPr>
        <w:t>本工程所有砂浆均采用预拌砂浆。</w:t>
      </w:r>
    </w:p>
    <w:p w14:paraId="460A03C5">
      <w:pPr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 w:firstLine="0" w:firstLineChars="0"/>
        <w:jc w:val="left"/>
        <w:textAlignment w:val="auto"/>
        <w:outlineLvl w:val="1"/>
        <w:rPr>
          <w:rFonts w:hint="eastAsia" w:ascii="微软雅黑" w:hAnsi="微软雅黑" w:eastAsia="微软雅黑" w:cs="微软雅黑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3.地区人工费费率调整</w:t>
      </w:r>
    </w:p>
    <w:p w14:paraId="2CA33A8D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lang w:val="en-US" w:eastAsia="zh-CN" w:bidi="ar"/>
        </w:rPr>
        <w:t>建筑与装饰工程地区人工费费率按照13.96%计取。</w:t>
      </w:r>
    </w:p>
    <w:p w14:paraId="7F82F85F">
      <w:pPr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 w:firstLine="0" w:firstLineChars="0"/>
        <w:jc w:val="left"/>
        <w:textAlignment w:val="auto"/>
        <w:outlineLvl w:val="1"/>
        <w:rPr>
          <w:rFonts w:hint="eastAsia" w:ascii="微软雅黑" w:hAnsi="微软雅黑" w:eastAsia="微软雅黑" w:cs="微软雅黑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4.总价措施项目清单计费</w:t>
      </w:r>
    </w:p>
    <w:p w14:paraId="056E899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" w:leftChars="50" w:firstLine="480" w:firstLineChars="200"/>
        <w:jc w:val="left"/>
        <w:textAlignment w:val="auto"/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lang w:val="en-US" w:eastAsia="zh-CN" w:bidi="ar"/>
        </w:rPr>
        <w:t>安全文明施工费按照在招标文件中公布的金额计取。</w:t>
      </w:r>
    </w:p>
    <w:p w14:paraId="6CAF133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" w:leftChars="50" w:firstLine="480" w:firstLineChars="200"/>
        <w:jc w:val="left"/>
        <w:textAlignment w:val="auto"/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lang w:val="en-US" w:eastAsia="zh-CN" w:bidi="ar"/>
        </w:rPr>
        <w:t>其他总价措施清单项目费率按照下表标准费率计取：</w:t>
      </w:r>
    </w:p>
    <w:tbl>
      <w:tblPr>
        <w:tblStyle w:val="6"/>
        <w:tblW w:w="4998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3"/>
        <w:gridCol w:w="2131"/>
        <w:gridCol w:w="2741"/>
        <w:gridCol w:w="2743"/>
      </w:tblGrid>
      <w:tr w14:paraId="733E04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D367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24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E918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599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3FA4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计 算 基 础</w:t>
            </w:r>
          </w:p>
        </w:tc>
        <w:tc>
          <w:tcPr>
            <w:tcW w:w="160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3876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费率（%）</w:t>
            </w:r>
          </w:p>
        </w:tc>
      </w:tr>
      <w:tr w14:paraId="76EA5E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6C9E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24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6524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夜间施工</w:t>
            </w:r>
          </w:p>
        </w:tc>
        <w:tc>
          <w:tcPr>
            <w:tcW w:w="1599" w:type="pct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60B6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分部分项工程及单价措施项目（定额人工费＋定额机械费）</w:t>
            </w:r>
          </w:p>
        </w:tc>
        <w:tc>
          <w:tcPr>
            <w:tcW w:w="160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27FC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0.48</w:t>
            </w:r>
          </w:p>
        </w:tc>
      </w:tr>
      <w:tr w14:paraId="49087B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7716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24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ED72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二次搬运</w:t>
            </w:r>
          </w:p>
        </w:tc>
        <w:tc>
          <w:tcPr>
            <w:tcW w:w="1599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FAF5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F0BA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0.23</w:t>
            </w:r>
          </w:p>
        </w:tc>
      </w:tr>
      <w:tr w14:paraId="6515B0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6FE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24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470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冬雨季施工</w:t>
            </w:r>
          </w:p>
        </w:tc>
        <w:tc>
          <w:tcPr>
            <w:tcW w:w="1599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D3C6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2304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0.36</w:t>
            </w:r>
          </w:p>
        </w:tc>
      </w:tr>
      <w:tr w14:paraId="3642BC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56BFD">
            <w:pPr>
              <w:pStyle w:val="5"/>
              <w:keepNext w:val="0"/>
              <w:keepLines w:val="0"/>
              <w:widowControl/>
              <w:suppressLineNumbers w:val="0"/>
              <w:autoSpaceDE w:val="0"/>
              <w:autoSpaceDN/>
              <w:spacing w:before="91" w:beforeAutospacing="0" w:after="0" w:afterAutospacing="0" w:line="360" w:lineRule="auto"/>
              <w:ind w:left="0" w:right="164"/>
              <w:jc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4</w:t>
            </w:r>
          </w:p>
        </w:tc>
        <w:tc>
          <w:tcPr>
            <w:tcW w:w="124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49416">
            <w:pPr>
              <w:pStyle w:val="5"/>
              <w:keepNext w:val="0"/>
              <w:keepLines w:val="0"/>
              <w:widowControl/>
              <w:suppressLineNumbers w:val="0"/>
              <w:autoSpaceDE w:val="0"/>
              <w:autoSpaceDN/>
              <w:spacing w:before="91" w:beforeAutospacing="0" w:after="0" w:afterAutospacing="0" w:line="360" w:lineRule="auto"/>
              <w:ind w:left="0" w:right="164" w:firstLine="0" w:firstLineChars="0"/>
              <w:jc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工程定位复测</w:t>
            </w:r>
          </w:p>
        </w:tc>
        <w:tc>
          <w:tcPr>
            <w:tcW w:w="1599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1176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D32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0.09</w:t>
            </w:r>
          </w:p>
        </w:tc>
      </w:tr>
    </w:tbl>
    <w:p w14:paraId="534C1720">
      <w:pPr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outlineLvl w:val="1"/>
        <w:rPr>
          <w:rFonts w:hint="eastAsia" w:ascii="微软雅黑" w:hAnsi="微软雅黑" w:eastAsia="微软雅黑" w:cs="微软雅黑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5.其他项目清单计费</w:t>
      </w:r>
    </w:p>
    <w:p w14:paraId="22516A5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lang w:val="en-US" w:eastAsia="zh-CN" w:bidi="ar"/>
        </w:rPr>
        <w:t>暂列金额按招标文件给定金额计算，</w:t>
      </w:r>
      <w:r>
        <w:rPr>
          <w:rFonts w:hint="eastAsia" w:ascii="微软雅黑" w:hAnsi="微软雅黑" w:eastAsia="微软雅黑" w:cs="微软雅黑"/>
          <w:color w:val="auto"/>
          <w:spacing w:val="0"/>
          <w:kern w:val="0"/>
          <w:sz w:val="24"/>
          <w:szCs w:val="24"/>
          <w:highlight w:val="none"/>
          <w:lang w:bidi="ar"/>
        </w:rPr>
        <w:t>不计取暂估价、计日工、总承包服务费</w:t>
      </w:r>
      <w:r>
        <w:rPr>
          <w:rFonts w:hint="eastAsia" w:ascii="微软雅黑" w:hAnsi="微软雅黑" w:eastAsia="微软雅黑" w:cs="微软雅黑"/>
          <w:color w:val="auto"/>
          <w:spacing w:val="0"/>
          <w:kern w:val="0"/>
          <w:sz w:val="24"/>
          <w:szCs w:val="24"/>
          <w:highlight w:val="none"/>
          <w:lang w:eastAsia="zh-CN" w:bidi="ar"/>
        </w:rPr>
        <w:t>。</w:t>
      </w:r>
    </w:p>
    <w:p w14:paraId="47709611">
      <w:pPr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 w:firstLine="0" w:firstLineChars="0"/>
        <w:jc w:val="left"/>
        <w:textAlignment w:val="auto"/>
        <w:outlineLvl w:val="1"/>
        <w:rPr>
          <w:rFonts w:hint="eastAsia" w:ascii="微软雅黑" w:hAnsi="微软雅黑" w:eastAsia="微软雅黑" w:cs="微软雅黑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6.材料价调整</w:t>
      </w:r>
    </w:p>
    <w:p w14:paraId="3A91FAB2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kern w:val="0"/>
          <w:positio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auto"/>
          <w:kern w:val="0"/>
          <w:position w:val="0"/>
          <w:sz w:val="24"/>
          <w:szCs w:val="24"/>
          <w:highlight w:val="none"/>
          <w:lang w:val="en-US" w:eastAsia="zh-CN" w:bidi="ar"/>
        </w:rPr>
        <w:t>根据工程资料中给定的建筑与装饰价格表进行材料价格调整。（未给定的按照定额上的价格不做调整）</w:t>
      </w:r>
    </w:p>
    <w:p w14:paraId="3BC520E3">
      <w:pPr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 w:firstLine="0" w:firstLineChars="0"/>
        <w:jc w:val="left"/>
        <w:textAlignment w:val="auto"/>
        <w:outlineLvl w:val="1"/>
        <w:rPr>
          <w:rFonts w:hint="eastAsia" w:ascii="微软雅黑" w:hAnsi="微软雅黑" w:eastAsia="微软雅黑" w:cs="微软雅黑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7.规费、税金计费</w:t>
      </w:r>
    </w:p>
    <w:p w14:paraId="62FE57F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lang w:val="en-US" w:eastAsia="zh-CN" w:bidi="ar"/>
        </w:rPr>
        <w:t>规费按招标人在招标文件中公布的招标控制价（最高投标限价）的规费金额填写。</w:t>
      </w:r>
    </w:p>
    <w:p w14:paraId="11C5D92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lang w:val="en-US" w:eastAsia="zh-CN" w:bidi="ar"/>
        </w:rPr>
        <w:t>销项增值税税率为9%，附加税按以下综合附加税税率表计算。</w:t>
      </w:r>
    </w:p>
    <w:tbl>
      <w:tblPr>
        <w:tblStyle w:val="6"/>
        <w:tblW w:w="5022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67"/>
        <w:gridCol w:w="2036"/>
        <w:gridCol w:w="3906"/>
      </w:tblGrid>
      <w:tr w14:paraId="7DBF11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86631">
            <w:pPr>
              <w:pStyle w:val="13"/>
              <w:keepNext w:val="0"/>
              <w:keepLines w:val="0"/>
              <w:widowControl/>
              <w:suppressLineNumbers w:val="0"/>
              <w:autoSpaceDE w:val="0"/>
              <w:autoSpaceDN/>
              <w:spacing w:before="91" w:beforeAutospacing="0" w:after="0" w:afterAutospacing="0" w:line="360" w:lineRule="auto"/>
              <w:ind w:right="164"/>
              <w:jc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项目名称</w:t>
            </w:r>
          </w:p>
        </w:tc>
        <w:tc>
          <w:tcPr>
            <w:tcW w:w="118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363C8">
            <w:pPr>
              <w:pStyle w:val="13"/>
              <w:keepNext w:val="0"/>
              <w:keepLines w:val="0"/>
              <w:widowControl/>
              <w:suppressLineNumbers w:val="0"/>
              <w:autoSpaceDE w:val="0"/>
              <w:autoSpaceDN/>
              <w:spacing w:before="91" w:beforeAutospacing="0" w:after="0" w:afterAutospacing="0" w:line="360" w:lineRule="auto"/>
              <w:ind w:right="164"/>
              <w:jc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计算基础</w:t>
            </w:r>
          </w:p>
        </w:tc>
        <w:tc>
          <w:tcPr>
            <w:tcW w:w="226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4B07B7">
            <w:pPr>
              <w:pStyle w:val="13"/>
              <w:keepNext w:val="0"/>
              <w:keepLines w:val="0"/>
              <w:widowControl/>
              <w:suppressLineNumbers w:val="0"/>
              <w:autoSpaceDE w:val="0"/>
              <w:autoSpaceDN/>
              <w:spacing w:before="91" w:beforeAutospacing="0" w:after="0" w:afterAutospacing="0" w:line="360" w:lineRule="auto"/>
              <w:ind w:right="164"/>
              <w:jc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综合附加税税率</w:t>
            </w:r>
          </w:p>
        </w:tc>
      </w:tr>
      <w:tr w14:paraId="1BF561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jc w:val="center"/>
        </w:trPr>
        <w:tc>
          <w:tcPr>
            <w:tcW w:w="1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F8BF2">
            <w:pPr>
              <w:pStyle w:val="13"/>
              <w:keepNext w:val="0"/>
              <w:keepLines w:val="0"/>
              <w:widowControl/>
              <w:suppressLineNumbers w:val="0"/>
              <w:autoSpaceDE w:val="0"/>
              <w:autoSpaceDN/>
              <w:spacing w:before="91" w:beforeAutospacing="0" w:after="0" w:afterAutospacing="0" w:line="360" w:lineRule="auto"/>
              <w:ind w:right="164"/>
              <w:jc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附加税（城市维护建设税、教育费附加、地方教育附加）</w:t>
            </w:r>
          </w:p>
        </w:tc>
        <w:tc>
          <w:tcPr>
            <w:tcW w:w="118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14B07">
            <w:pPr>
              <w:pStyle w:val="13"/>
              <w:keepNext w:val="0"/>
              <w:keepLines w:val="0"/>
              <w:widowControl/>
              <w:suppressLineNumbers w:val="0"/>
              <w:autoSpaceDE w:val="0"/>
              <w:autoSpaceDN/>
              <w:spacing w:before="91" w:beforeAutospacing="0" w:after="0" w:afterAutospacing="0" w:line="360" w:lineRule="auto"/>
              <w:ind w:right="164"/>
              <w:jc w:val="center"/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税前不含税工程造价</w:t>
            </w:r>
          </w:p>
        </w:tc>
        <w:tc>
          <w:tcPr>
            <w:tcW w:w="226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80FDF6">
            <w:pPr>
              <w:pStyle w:val="13"/>
              <w:keepNext w:val="0"/>
              <w:keepLines w:val="0"/>
              <w:widowControl/>
              <w:suppressLineNumbers w:val="0"/>
              <w:autoSpaceDE w:val="0"/>
              <w:autoSpaceDN/>
              <w:spacing w:before="91" w:beforeAutospacing="0" w:after="0" w:afterAutospacing="0" w:line="360" w:lineRule="auto"/>
              <w:ind w:right="164"/>
              <w:jc w:val="both"/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1. 工程在市区时为 0.313%</w:t>
            </w:r>
          </w:p>
          <w:p w14:paraId="52AADB40">
            <w:pPr>
              <w:pStyle w:val="13"/>
              <w:keepNext w:val="0"/>
              <w:keepLines w:val="0"/>
              <w:widowControl/>
              <w:suppressLineNumbers w:val="0"/>
              <w:autoSpaceDE w:val="0"/>
              <w:autoSpaceDN/>
              <w:spacing w:before="91" w:beforeAutospacing="0" w:after="0" w:afterAutospacing="0" w:line="360" w:lineRule="auto"/>
              <w:ind w:right="164"/>
              <w:jc w:val="both"/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2. 工程在县城镇时为 0.261%</w:t>
            </w:r>
          </w:p>
          <w:p w14:paraId="56A9F8AA">
            <w:pPr>
              <w:pStyle w:val="13"/>
              <w:keepNext w:val="0"/>
              <w:keepLines w:val="0"/>
              <w:widowControl/>
              <w:suppressLineNumbers w:val="0"/>
              <w:autoSpaceDE w:val="0"/>
              <w:autoSpaceDN/>
              <w:spacing w:before="91" w:beforeAutospacing="0" w:after="0" w:afterAutospacing="0" w:line="360" w:lineRule="auto"/>
              <w:ind w:right="164"/>
              <w:jc w:val="both"/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3. 工程不在县城镇时为 0.157%</w:t>
            </w:r>
          </w:p>
        </w:tc>
      </w:tr>
    </w:tbl>
    <w:p w14:paraId="4AD93622">
      <w:pPr>
        <w:pStyle w:val="3"/>
        <w:numPr>
          <w:ilvl w:val="-1"/>
          <w:numId w:val="0"/>
        </w:numPr>
        <w:bidi w:val="0"/>
        <w:spacing w:line="360" w:lineRule="auto"/>
        <w:ind w:left="0" w:firstLine="480" w:firstLineChars="200"/>
        <w:outlineLvl w:val="1"/>
        <w:rPr>
          <w:rFonts w:hint="eastAsia" w:ascii="微软雅黑" w:hAnsi="微软雅黑" w:eastAsia="微软雅黑" w:cs="微软雅黑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8.成果文件提交</w:t>
      </w:r>
    </w:p>
    <w:p w14:paraId="07EDD609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lang w:eastAsia="zh-CN" w:bidi="ar"/>
        </w:rPr>
      </w:pPr>
      <w:r>
        <w:rPr>
          <w:rFonts w:hint="eastAsia" w:ascii="微软雅黑" w:hAnsi="微软雅黑" w:eastAsia="微软雅黑" w:cs="微软雅黑"/>
          <w:color w:val="auto"/>
          <w:spacing w:val="0"/>
          <w:kern w:val="0"/>
          <w:position w:val="0"/>
          <w:sz w:val="24"/>
          <w:szCs w:val="24"/>
          <w:highlight w:val="none"/>
          <w:lang w:eastAsia="zh-CN" w:bidi="ar"/>
        </w:rPr>
        <w:t>将完成的所有成果保存在“赛项模块二</w:t>
      </w:r>
      <w:r>
        <w:rPr>
          <w:rFonts w:hint="eastAsia" w:ascii="微软雅黑" w:hAnsi="微软雅黑" w:eastAsia="微软雅黑" w:cs="微软雅黑"/>
          <w:color w:val="auto"/>
          <w:spacing w:val="0"/>
          <w:kern w:val="0"/>
          <w:position w:val="0"/>
          <w:sz w:val="24"/>
          <w:szCs w:val="24"/>
          <w:highlight w:val="none"/>
          <w:lang w:val="en-US" w:eastAsia="zh-CN" w:bidi="ar"/>
        </w:rPr>
        <w:t xml:space="preserve"> 建筑与装饰</w:t>
      </w:r>
      <w:r>
        <w:rPr>
          <w:rFonts w:hint="eastAsia" w:ascii="微软雅黑" w:hAnsi="微软雅黑" w:eastAsia="微软雅黑" w:cs="微软雅黑"/>
          <w:color w:val="auto"/>
          <w:spacing w:val="0"/>
          <w:kern w:val="0"/>
          <w:position w:val="0"/>
          <w:sz w:val="24"/>
          <w:szCs w:val="24"/>
          <w:highlight w:val="none"/>
          <w:lang w:eastAsia="zh-CN" w:bidi="ar"/>
        </w:rPr>
        <w:t>工程-</w:t>
      </w:r>
      <w:r>
        <w:rPr>
          <w:rFonts w:hint="eastAsia" w:ascii="微软雅黑" w:hAnsi="微软雅黑" w:eastAsia="微软雅黑" w:cs="微软雅黑"/>
          <w:color w:val="auto"/>
          <w:spacing w:val="0"/>
          <w:kern w:val="0"/>
          <w:position w:val="0"/>
          <w:sz w:val="24"/>
          <w:szCs w:val="24"/>
          <w:highlight w:val="none"/>
          <w:lang w:val="en-US" w:eastAsia="zh-CN" w:bidi="ar"/>
        </w:rPr>
        <w:t>第X组（抽签组号）</w:t>
      </w:r>
      <w:r>
        <w:rPr>
          <w:rFonts w:hint="eastAsia" w:ascii="微软雅黑" w:hAnsi="微软雅黑" w:eastAsia="微软雅黑" w:cs="微软雅黑"/>
          <w:color w:val="auto"/>
          <w:spacing w:val="0"/>
          <w:kern w:val="0"/>
          <w:position w:val="0"/>
          <w:sz w:val="24"/>
          <w:szCs w:val="24"/>
          <w:highlight w:val="none"/>
          <w:lang w:eastAsia="zh-CN" w:bidi="ar"/>
        </w:rPr>
        <w:t xml:space="preserve"> ”文件夹内，文件名按以下规定名称命名：</w:t>
      </w:r>
    </w:p>
    <w:p w14:paraId="33130821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baseline"/>
        <w:outlineLvl w:val="0"/>
        <w:rPr>
          <w:rFonts w:hint="eastAsia" w:ascii="微软雅黑" w:hAnsi="微软雅黑" w:eastAsia="微软雅黑" w:cs="微软雅黑"/>
          <w:color w:val="auto"/>
          <w:kern w:val="0"/>
          <w:sz w:val="24"/>
          <w:szCs w:val="24"/>
          <w:highlight w:val="none"/>
          <w:lang w:eastAsia="zh-CN" w:bidi="ar"/>
        </w:rPr>
      </w:pPr>
      <w:r>
        <w:rPr>
          <w:rFonts w:hint="eastAsia" w:ascii="微软雅黑" w:hAnsi="微软雅黑" w:eastAsia="微软雅黑" w:cs="微软雅黑"/>
          <w:color w:val="auto"/>
          <w:spacing w:val="0"/>
          <w:kern w:val="0"/>
          <w:sz w:val="24"/>
          <w:szCs w:val="24"/>
          <w:highlight w:val="none"/>
          <w:lang w:val="en-US" w:eastAsia="zh-CN" w:bidi="ar"/>
        </w:rPr>
        <w:t>1-1 建筑与装饰</w:t>
      </w:r>
      <w:r>
        <w:rPr>
          <w:rFonts w:hint="eastAsia" w:ascii="微软雅黑" w:hAnsi="微软雅黑" w:eastAsia="微软雅黑" w:cs="微软雅黑"/>
          <w:color w:val="auto"/>
          <w:spacing w:val="0"/>
          <w:kern w:val="0"/>
          <w:sz w:val="24"/>
          <w:szCs w:val="24"/>
          <w:highlight w:val="none"/>
          <w:lang w:eastAsia="zh-CN" w:bidi="ar"/>
        </w:rPr>
        <w:t>工程投标文件（软件版）</w:t>
      </w:r>
    </w:p>
    <w:p w14:paraId="1F4A6F85">
      <w:pPr>
        <w:pStyle w:val="4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70" w:line="608" w:lineRule="exact"/>
        <w:jc w:val="left"/>
        <w:textAlignment w:val="baseline"/>
        <w:rPr>
          <w:b/>
          <w:bCs/>
          <w:color w:val="auto"/>
          <w:spacing w:val="-3"/>
          <w:position w:val="25"/>
          <w:highlight w:val="none"/>
        </w:rPr>
      </w:pPr>
    </w:p>
    <w:p w14:paraId="2C4D1AA1">
      <w:pPr>
        <w:pStyle w:val="4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70" w:line="608" w:lineRule="exact"/>
        <w:jc w:val="left"/>
        <w:textAlignment w:val="baseline"/>
        <w:rPr>
          <w:b/>
          <w:bCs/>
          <w:color w:val="auto"/>
          <w:spacing w:val="-3"/>
          <w:position w:val="25"/>
          <w:highlight w:val="none"/>
        </w:rPr>
      </w:pPr>
    </w:p>
    <w:p w14:paraId="5A648E7B">
      <w:pPr>
        <w:pStyle w:val="4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70" w:line="608" w:lineRule="exact"/>
        <w:jc w:val="left"/>
        <w:textAlignment w:val="baseline"/>
        <w:rPr>
          <w:b/>
          <w:bCs/>
          <w:color w:val="auto"/>
          <w:spacing w:val="-3"/>
          <w:position w:val="25"/>
          <w:highlight w:val="none"/>
        </w:rPr>
      </w:pPr>
    </w:p>
    <w:p w14:paraId="52061C62">
      <w:pPr>
        <w:pStyle w:val="4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70" w:line="608" w:lineRule="exact"/>
        <w:jc w:val="left"/>
        <w:textAlignment w:val="baseline"/>
        <w:rPr>
          <w:b/>
          <w:bCs/>
          <w:color w:val="auto"/>
          <w:spacing w:val="-3"/>
          <w:position w:val="25"/>
          <w:highlight w:val="none"/>
        </w:rPr>
      </w:pPr>
    </w:p>
    <w:p w14:paraId="5F51FEB6">
      <w:pPr>
        <w:pStyle w:val="4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70" w:line="608" w:lineRule="exact"/>
        <w:jc w:val="left"/>
        <w:textAlignment w:val="baseline"/>
        <w:rPr>
          <w:b/>
          <w:bCs/>
          <w:color w:val="auto"/>
          <w:spacing w:val="-3"/>
          <w:position w:val="25"/>
          <w:highlight w:val="none"/>
        </w:rPr>
      </w:pPr>
    </w:p>
    <w:p w14:paraId="3B4DE428">
      <w:pPr>
        <w:pStyle w:val="4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70" w:line="608" w:lineRule="exact"/>
        <w:jc w:val="left"/>
        <w:textAlignment w:val="baseline"/>
        <w:rPr>
          <w:b/>
          <w:bCs/>
          <w:color w:val="auto"/>
          <w:spacing w:val="-3"/>
          <w:position w:val="25"/>
          <w:highlight w:val="none"/>
        </w:rPr>
      </w:pPr>
    </w:p>
    <w:p w14:paraId="241967F7">
      <w:pPr>
        <w:pStyle w:val="4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70" w:line="608" w:lineRule="exact"/>
        <w:jc w:val="left"/>
        <w:textAlignment w:val="baseline"/>
        <w:rPr>
          <w:b/>
          <w:bCs/>
          <w:color w:val="auto"/>
          <w:spacing w:val="-3"/>
          <w:position w:val="25"/>
          <w:highlight w:val="none"/>
        </w:rPr>
      </w:pPr>
    </w:p>
    <w:p w14:paraId="42ECACB1">
      <w:pPr>
        <w:pStyle w:val="4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70" w:line="608" w:lineRule="exact"/>
        <w:jc w:val="left"/>
        <w:textAlignment w:val="baseline"/>
        <w:rPr>
          <w:b/>
          <w:bCs/>
          <w:color w:val="auto"/>
          <w:spacing w:val="-3"/>
          <w:position w:val="25"/>
          <w:highlight w:val="none"/>
        </w:rPr>
      </w:pPr>
    </w:p>
    <w:p w14:paraId="145DC0BF">
      <w:pPr>
        <w:pStyle w:val="4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70" w:line="608" w:lineRule="exact"/>
        <w:jc w:val="left"/>
        <w:textAlignment w:val="baseline"/>
        <w:rPr>
          <w:b/>
          <w:bCs/>
          <w:color w:val="auto"/>
          <w:spacing w:val="-3"/>
          <w:position w:val="25"/>
          <w:highlight w:val="none"/>
        </w:rPr>
      </w:pPr>
    </w:p>
    <w:p w14:paraId="7FAF96D9">
      <w:pPr>
        <w:pStyle w:val="4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70" w:line="608" w:lineRule="exact"/>
        <w:jc w:val="left"/>
        <w:textAlignment w:val="baseline"/>
        <w:rPr>
          <w:b/>
          <w:bCs/>
          <w:color w:val="auto"/>
          <w:spacing w:val="-3"/>
          <w:position w:val="25"/>
          <w:highlight w:val="none"/>
        </w:rPr>
      </w:pPr>
    </w:p>
    <w:p w14:paraId="5043401C">
      <w:pPr>
        <w:pStyle w:val="4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70" w:line="608" w:lineRule="exact"/>
        <w:jc w:val="left"/>
        <w:textAlignment w:val="baseline"/>
        <w:rPr>
          <w:b/>
          <w:bCs/>
          <w:color w:val="auto"/>
          <w:spacing w:val="-3"/>
          <w:position w:val="25"/>
          <w:highlight w:val="none"/>
        </w:rPr>
      </w:pPr>
    </w:p>
    <w:p w14:paraId="3F886918">
      <w:pPr>
        <w:pStyle w:val="4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70" w:line="608" w:lineRule="exact"/>
        <w:jc w:val="left"/>
        <w:textAlignment w:val="baseline"/>
        <w:rPr>
          <w:b/>
          <w:bCs/>
          <w:color w:val="auto"/>
          <w:spacing w:val="-3"/>
          <w:position w:val="25"/>
          <w:highlight w:val="none"/>
        </w:rPr>
      </w:pPr>
    </w:p>
    <w:p w14:paraId="71AF7C59">
      <w:pPr>
        <w:pStyle w:val="4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70" w:line="608" w:lineRule="exact"/>
        <w:jc w:val="left"/>
        <w:textAlignment w:val="baseline"/>
        <w:rPr>
          <w:b/>
          <w:bCs/>
          <w:color w:val="auto"/>
          <w:spacing w:val="-3"/>
          <w:position w:val="25"/>
          <w:highlight w:val="none"/>
        </w:rPr>
      </w:pPr>
    </w:p>
    <w:p w14:paraId="6274B6B6">
      <w:pPr>
        <w:pStyle w:val="4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170" w:line="608" w:lineRule="exact"/>
        <w:jc w:val="left"/>
        <w:textAlignment w:val="baseline"/>
        <w:rPr>
          <w:b/>
          <w:bCs/>
          <w:color w:val="auto"/>
          <w:spacing w:val="-3"/>
          <w:position w:val="25"/>
          <w:highlight w:val="none"/>
        </w:rPr>
      </w:pPr>
    </w:p>
    <w:p w14:paraId="13050CDB">
      <w:pPr>
        <w:pStyle w:val="1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2" w:firstLineChars="200"/>
        <w:textAlignment w:val="baseline"/>
        <w:rPr>
          <w:rFonts w:hint="default" w:ascii="微软雅黑" w:hAnsi="微软雅黑" w:eastAsia="微软雅黑" w:cs="微软雅黑"/>
          <w:b/>
          <w:bCs/>
          <w:snapToGrid w:val="0"/>
          <w:color w:val="auto"/>
          <w:spacing w:val="-2"/>
          <w:kern w:val="0"/>
          <w:position w:val="25"/>
          <w:sz w:val="24"/>
          <w:szCs w:val="24"/>
          <w:highlight w:val="none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snapToGrid w:val="0"/>
          <w:color w:val="auto"/>
          <w:spacing w:val="-2"/>
          <w:kern w:val="0"/>
          <w:position w:val="25"/>
          <w:sz w:val="24"/>
          <w:szCs w:val="24"/>
          <w:highlight w:val="none"/>
          <w:lang w:val="en-US" w:eastAsia="zh-CN" w:bidi="ar-SA"/>
        </w:rPr>
        <w:t>第二部分  安装工程投标报价文件的编制（30分）</w:t>
      </w:r>
    </w:p>
    <w:p w14:paraId="2360A140">
      <w:pPr>
        <w:pStyle w:val="1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68" w:firstLineChars="2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pacing w:val="-3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pacing w:val="-3"/>
          <w:sz w:val="24"/>
          <w:szCs w:val="24"/>
          <w:highlight w:val="none"/>
        </w:rPr>
        <w:t>（一）电气工程投标报价文件的编制</w:t>
      </w:r>
    </w:p>
    <w:p w14:paraId="433CFE88">
      <w:pPr>
        <w:pStyle w:val="1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68" w:firstLineChars="2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pacing w:val="-3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pacing w:val="-3"/>
          <w:sz w:val="24"/>
          <w:szCs w:val="24"/>
          <w:highlight w:val="none"/>
        </w:rPr>
        <w:t>1</w:t>
      </w:r>
      <w:r>
        <w:rPr>
          <w:rFonts w:hint="eastAsia" w:ascii="微软雅黑" w:hAnsi="微软雅黑" w:eastAsia="微软雅黑" w:cs="微软雅黑"/>
          <w:b/>
          <w:bCs/>
          <w:color w:val="auto"/>
          <w:spacing w:val="-3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微软雅黑" w:hAnsi="微软雅黑" w:eastAsia="微软雅黑" w:cs="微软雅黑"/>
          <w:b/>
          <w:bCs/>
          <w:color w:val="auto"/>
          <w:spacing w:val="-3"/>
          <w:sz w:val="24"/>
          <w:szCs w:val="24"/>
          <w:highlight w:val="none"/>
        </w:rPr>
        <w:t>新建工程及工程设置</w:t>
      </w:r>
    </w:p>
    <w:p w14:paraId="2146F6C1">
      <w:pPr>
        <w:pStyle w:val="1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</w:rPr>
        <w:t>根据提供的工程文件，完成计价工程的创建，选用增值税（一般计税法）编制投标报价文件，规范选用</w:t>
      </w:r>
      <w:r>
        <w:rPr>
          <w:rFonts w:hint="eastAsia" w:ascii="微软雅黑" w:hAnsi="微软雅黑" w:eastAsia="微软雅黑" w:cs="微软雅黑"/>
          <w:color w:val="auto"/>
          <w:spacing w:val="-1"/>
          <w:position w:val="17"/>
          <w:sz w:val="24"/>
          <w:szCs w:val="24"/>
          <w:highlight w:val="none"/>
        </w:rPr>
        <w:t>《建设工程工程量清单计</w:t>
      </w: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</w:rPr>
        <w:t>价规范》 (GB50500-2013)、《通用安装工程工程量计算规范》 (GB50856-2013)</w:t>
      </w: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eastAsia="zh-CN"/>
        </w:rPr>
        <w:t>、《四川省建设工程工程量清单计价定额》（2020 版）。</w:t>
      </w:r>
    </w:p>
    <w:p w14:paraId="68B43E7C">
      <w:pPr>
        <w:pStyle w:val="1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2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</w:rPr>
        <w:t>本工程项目名称为“某</w:t>
      </w:r>
      <w:r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  <w:lang w:val="en-US" w:eastAsia="zh-CN"/>
        </w:rPr>
        <w:t>综合</w:t>
      </w:r>
      <w:r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</w:rPr>
        <w:t>楼</w:t>
      </w:r>
      <w:r>
        <w:rPr>
          <w:rFonts w:hint="eastAsia" w:ascii="微软雅黑" w:hAnsi="微软雅黑" w:eastAsia="微软雅黑" w:cs="微软雅黑"/>
          <w:color w:val="auto"/>
          <w:spacing w:val="-89"/>
          <w:sz w:val="24"/>
          <w:szCs w:val="24"/>
          <w:highlight w:val="none"/>
        </w:rPr>
        <w:t xml:space="preserve"> </w:t>
      </w:r>
      <w:r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</w:rPr>
        <w:t xml:space="preserve">”，建筑面积为 </w:t>
      </w:r>
      <w:r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  <w:lang w:val="en-US" w:eastAsia="zh-CN"/>
        </w:rPr>
        <w:t>46</w:t>
      </w:r>
      <w:r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</w:rPr>
        <w:t>83.98</w:t>
      </w:r>
      <w:r>
        <w:rPr>
          <w:rFonts w:hint="eastAsia" w:ascii="微软雅黑" w:hAnsi="微软雅黑" w:eastAsia="微软雅黑" w:cs="微软雅黑"/>
          <w:color w:val="auto"/>
          <w:spacing w:val="-3"/>
          <w:sz w:val="24"/>
          <w:szCs w:val="24"/>
          <w:highlight w:val="none"/>
        </w:rPr>
        <w:t xml:space="preserve"> ㎡</w:t>
      </w:r>
      <w:r>
        <w:rPr>
          <w:rFonts w:hint="eastAsia" w:ascii="微软雅黑" w:hAnsi="微软雅黑" w:eastAsia="微软雅黑" w:cs="微软雅黑"/>
          <w:color w:val="auto"/>
          <w:spacing w:val="-71"/>
          <w:sz w:val="24"/>
          <w:szCs w:val="24"/>
          <w:highlight w:val="none"/>
        </w:rPr>
        <w:t xml:space="preserve"> </w:t>
      </w:r>
      <w:r>
        <w:rPr>
          <w:rFonts w:hint="eastAsia" w:ascii="微软雅黑" w:hAnsi="微软雅黑" w:eastAsia="微软雅黑" w:cs="微软雅黑"/>
          <w:color w:val="auto"/>
          <w:spacing w:val="-3"/>
          <w:sz w:val="24"/>
          <w:szCs w:val="24"/>
          <w:highlight w:val="none"/>
        </w:rPr>
        <w:t>，结构类型：框架结构</w:t>
      </w:r>
      <w:r>
        <w:rPr>
          <w:rFonts w:hint="eastAsia" w:ascii="微软雅黑" w:hAnsi="微软雅黑" w:eastAsia="微软雅黑" w:cs="微软雅黑"/>
          <w:color w:val="auto"/>
          <w:spacing w:val="29"/>
          <w:sz w:val="24"/>
          <w:szCs w:val="24"/>
          <w:highlight w:val="none"/>
        </w:rPr>
        <w:t xml:space="preserve"> </w:t>
      </w:r>
      <w:r>
        <w:rPr>
          <w:rFonts w:hint="eastAsia" w:ascii="微软雅黑" w:hAnsi="微软雅黑" w:eastAsia="微软雅黑" w:cs="微软雅黑"/>
          <w:color w:val="auto"/>
          <w:spacing w:val="-3"/>
          <w:sz w:val="24"/>
          <w:szCs w:val="24"/>
          <w:highlight w:val="none"/>
        </w:rPr>
        <w:t>，项目位置：</w:t>
      </w:r>
      <w:r>
        <w:rPr>
          <w:rFonts w:hint="eastAsia" w:ascii="微软雅黑" w:hAnsi="微软雅黑" w:eastAsia="微软雅黑" w:cs="微软雅黑"/>
          <w:color w:val="auto"/>
          <w:spacing w:val="-3"/>
          <w:sz w:val="24"/>
          <w:szCs w:val="24"/>
          <w:highlight w:val="none"/>
          <w:lang w:val="en-US" w:eastAsia="zh-CN"/>
        </w:rPr>
        <w:t>四川</w:t>
      </w:r>
      <w:r>
        <w:rPr>
          <w:rFonts w:hint="eastAsia" w:ascii="微软雅黑" w:hAnsi="微软雅黑" w:eastAsia="微软雅黑" w:cs="微软雅黑"/>
          <w:color w:val="auto"/>
          <w:spacing w:val="-3"/>
          <w:sz w:val="24"/>
          <w:szCs w:val="24"/>
          <w:highlight w:val="none"/>
        </w:rPr>
        <w:t>省</w:t>
      </w:r>
      <w:r>
        <w:rPr>
          <w:rFonts w:hint="eastAsia" w:ascii="微软雅黑" w:hAnsi="微软雅黑" w:eastAsia="微软雅黑" w:cs="微软雅黑"/>
          <w:color w:val="auto"/>
          <w:spacing w:val="-3"/>
          <w:sz w:val="24"/>
          <w:szCs w:val="24"/>
          <w:highlight w:val="none"/>
          <w:lang w:val="en-US" w:eastAsia="zh-CN"/>
        </w:rPr>
        <w:t>成都市市区</w:t>
      </w:r>
      <w:r>
        <w:rPr>
          <w:rFonts w:hint="eastAsia" w:ascii="微软雅黑" w:hAnsi="微软雅黑" w:eastAsia="微软雅黑" w:cs="微软雅黑"/>
          <w:color w:val="auto"/>
          <w:spacing w:val="-3"/>
          <w:sz w:val="24"/>
          <w:szCs w:val="24"/>
          <w:highlight w:val="none"/>
        </w:rPr>
        <w:t>。</w:t>
      </w:r>
    </w:p>
    <w:p w14:paraId="13928D2C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6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pacing w:val="-1"/>
          <w:sz w:val="24"/>
          <w:szCs w:val="24"/>
          <w:highlight w:val="none"/>
        </w:rPr>
        <w:t>已公示投标最高限价：691852.20元，大写：陆拾玖万壹仟捌佰伍拾贰元贰角整</w:t>
      </w:r>
      <w:r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</w:rPr>
        <w:t>。</w:t>
      </w:r>
    </w:p>
    <w:p w14:paraId="78829220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6" w:firstLineChars="2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</w:rPr>
        <w:t>2</w:t>
      </w:r>
      <w:r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</w:rPr>
        <w:t>分部分项工程费组价与调价</w:t>
      </w:r>
    </w:p>
    <w:p w14:paraId="1B67F8AF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6" w:firstLineChars="200"/>
        <w:textAlignment w:val="baseline"/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pacing w:val="-1"/>
          <w:position w:val="17"/>
          <w:sz w:val="24"/>
          <w:szCs w:val="24"/>
          <w:highlight w:val="none"/>
        </w:rPr>
        <w:t>根据所给出的分部分项工程量清单报表，结合《</w:t>
      </w:r>
      <w:r>
        <w:rPr>
          <w:rFonts w:hint="eastAsia" w:ascii="微软雅黑" w:hAnsi="微软雅黑" w:eastAsia="微软雅黑" w:cs="微软雅黑"/>
          <w:color w:val="auto"/>
          <w:spacing w:val="-1"/>
          <w:position w:val="17"/>
          <w:sz w:val="24"/>
          <w:szCs w:val="24"/>
          <w:highlight w:val="none"/>
          <w:lang w:val="en-US" w:eastAsia="zh-CN"/>
        </w:rPr>
        <w:t>四川省建设工程工程量清单计价定额</w:t>
      </w:r>
      <w:r>
        <w:rPr>
          <w:rFonts w:hint="eastAsia" w:ascii="微软雅黑" w:hAnsi="微软雅黑" w:eastAsia="微软雅黑" w:cs="微软雅黑"/>
          <w:color w:val="auto"/>
          <w:spacing w:val="-1"/>
          <w:position w:val="17"/>
          <w:sz w:val="24"/>
          <w:szCs w:val="24"/>
          <w:highlight w:val="none"/>
        </w:rPr>
        <w:t>》（</w:t>
      </w:r>
      <w:r>
        <w:rPr>
          <w:rFonts w:hint="eastAsia" w:ascii="微软雅黑" w:hAnsi="微软雅黑" w:eastAsia="微软雅黑" w:cs="微软雅黑"/>
          <w:color w:val="auto"/>
          <w:spacing w:val="-1"/>
          <w:position w:val="17"/>
          <w:sz w:val="24"/>
          <w:szCs w:val="24"/>
          <w:highlight w:val="none"/>
          <w:lang w:val="en-US" w:eastAsia="zh-CN"/>
        </w:rPr>
        <w:t>2020</w:t>
      </w:r>
      <w:r>
        <w:rPr>
          <w:rFonts w:hint="eastAsia" w:ascii="微软雅黑" w:hAnsi="微软雅黑" w:eastAsia="微软雅黑" w:cs="微软雅黑"/>
          <w:color w:val="auto"/>
          <w:spacing w:val="-48"/>
          <w:position w:val="17"/>
          <w:sz w:val="24"/>
          <w:szCs w:val="24"/>
          <w:highlight w:val="none"/>
        </w:rPr>
        <w:t xml:space="preserve"> </w:t>
      </w:r>
      <w:r>
        <w:rPr>
          <w:rFonts w:hint="eastAsia" w:ascii="微软雅黑" w:hAnsi="微软雅黑" w:eastAsia="微软雅黑" w:cs="微软雅黑"/>
          <w:color w:val="auto"/>
          <w:spacing w:val="-1"/>
          <w:position w:val="17"/>
          <w:sz w:val="24"/>
          <w:szCs w:val="24"/>
          <w:highlight w:val="none"/>
        </w:rPr>
        <w:t>版</w:t>
      </w:r>
      <w:r>
        <w:rPr>
          <w:rFonts w:hint="eastAsia" w:ascii="微软雅黑" w:hAnsi="微软雅黑" w:eastAsia="微软雅黑" w:cs="微软雅黑"/>
          <w:color w:val="auto"/>
          <w:spacing w:val="6"/>
          <w:position w:val="17"/>
          <w:sz w:val="24"/>
          <w:szCs w:val="24"/>
          <w:highlight w:val="none"/>
        </w:rPr>
        <w:t>），</w:t>
      </w:r>
      <w:r>
        <w:rPr>
          <w:rFonts w:hint="eastAsia" w:ascii="微软雅黑" w:hAnsi="微软雅黑" w:eastAsia="微软雅黑" w:cs="微软雅黑"/>
          <w:color w:val="auto"/>
          <w:spacing w:val="-1"/>
          <w:position w:val="17"/>
          <w:sz w:val="24"/>
          <w:szCs w:val="24"/>
          <w:highlight w:val="none"/>
        </w:rPr>
        <w:t>完成工程组价，并按项目特征描述进行换算。</w:t>
      </w:r>
    </w:p>
    <w:p w14:paraId="22FEFEDA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6" w:firstLineChars="2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</w:rPr>
        <w:t>地区人工费费率调整</w:t>
      </w:r>
    </w:p>
    <w:p w14:paraId="7722B17F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6" w:firstLineChars="200"/>
        <w:textAlignment w:val="baseline"/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pacing w:val="-1"/>
          <w:position w:val="17"/>
          <w:sz w:val="24"/>
          <w:szCs w:val="24"/>
          <w:highlight w:val="none"/>
          <w:lang w:val="en-US" w:eastAsia="zh-CN"/>
        </w:rPr>
        <w:t>安装工程按16.09%计取。</w:t>
      </w:r>
    </w:p>
    <w:p w14:paraId="56F3CB2C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2" w:firstLineChars="2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pacing w:val="-2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微软雅黑" w:hAnsi="微软雅黑" w:eastAsia="微软雅黑" w:cs="微软雅黑"/>
          <w:b/>
          <w:bCs/>
          <w:color w:val="auto"/>
          <w:spacing w:val="-2"/>
          <w:sz w:val="24"/>
          <w:szCs w:val="24"/>
          <w:highlight w:val="none"/>
        </w:rPr>
        <w:t>措施项目费组价与调价</w:t>
      </w:r>
    </w:p>
    <w:p w14:paraId="322ABB92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  <w:t>单价</w:t>
      </w: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</w:rPr>
        <w:t>措施费仅计取脚手架搭拆费及高层施工增加费两项，其中脚手架搭拆费投标按照（</w:t>
      </w: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  <w:t xml:space="preserve">D </w:t>
      </w: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</w:rPr>
        <w:t>电气设备安装工程</w:t>
      </w:r>
      <w:r>
        <w:rPr>
          <w:rFonts w:hint="eastAsia" w:ascii="微软雅黑" w:hAnsi="微软雅黑" w:eastAsia="微软雅黑" w:cs="微软雅黑"/>
          <w:color w:val="auto"/>
          <w:spacing w:val="-1"/>
          <w:position w:val="17"/>
          <w:sz w:val="24"/>
          <w:szCs w:val="24"/>
          <w:highlight w:val="none"/>
        </w:rPr>
        <w:t>）计取、高层施工增</w:t>
      </w: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</w:rPr>
        <w:t>加费投标按“建筑物超高增加费</w:t>
      </w: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  <w:t>_建筑物高度≤</w:t>
      </w: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</w:rPr>
        <w:t>(40m) ”考虑，按照（D 电气设备安装工程）计取；</w:t>
      </w:r>
    </w:p>
    <w:p w14:paraId="0F4039CF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  <w:t>总价措施费中仅计取安全文明施工基本费，按《四川省建设工程工程量清单计价定额》（2020 版），环境保护费、文明施工费、安全施工费、临时施工费费率设置分别为 0.55%、2.3%、3.95%、3%。</w:t>
      </w:r>
    </w:p>
    <w:p w14:paraId="78842DDB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6" w:firstLineChars="2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</w:rPr>
        <w:t>其他项目费组价与调价</w:t>
      </w:r>
    </w:p>
    <w:p w14:paraId="6B19D723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6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pacing w:val="-1"/>
          <w:sz w:val="24"/>
          <w:szCs w:val="24"/>
          <w:highlight w:val="none"/>
        </w:rPr>
        <w:t>不计取暂列金额、暂估价、计日工、总承包服务费。</w:t>
      </w:r>
    </w:p>
    <w:p w14:paraId="2D068C41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68" w:firstLineChars="2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pacing w:val="-3"/>
          <w:sz w:val="24"/>
          <w:szCs w:val="24"/>
          <w:highlight w:val="none"/>
          <w:lang w:val="en-US" w:eastAsia="zh-CN"/>
        </w:rPr>
        <w:t>6.</w:t>
      </w:r>
      <w:r>
        <w:rPr>
          <w:rFonts w:hint="eastAsia" w:ascii="微软雅黑" w:hAnsi="微软雅黑" w:eastAsia="微软雅黑" w:cs="微软雅黑"/>
          <w:b/>
          <w:bCs/>
          <w:color w:val="auto"/>
          <w:spacing w:val="-3"/>
          <w:sz w:val="24"/>
          <w:szCs w:val="24"/>
          <w:highlight w:val="none"/>
        </w:rPr>
        <w:t>材料市场价</w:t>
      </w:r>
    </w:p>
    <w:p w14:paraId="45EBE49E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  <w:t>根据工程资料中给定的安装工程主材价格表进行材料价格调整。（未给定的</w:t>
      </w:r>
      <w:r>
        <w:rPr>
          <w:rFonts w:hint="default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  <w:br w:type="textWrapping"/>
      </w:r>
      <w:r>
        <w:rPr>
          <w:rFonts w:hint="default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  <w:t>按照定额上的价格不做调整）</w:t>
      </w:r>
    </w:p>
    <w:p w14:paraId="6EAD34EF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6" w:firstLineChars="2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  <w:lang w:val="en-US" w:eastAsia="zh-CN"/>
        </w:rPr>
        <w:t>7.</w:t>
      </w:r>
      <w:r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</w:rPr>
        <w:t>规费和税金</w:t>
      </w:r>
    </w:p>
    <w:p w14:paraId="316A5988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52" w:firstLineChars="200"/>
        <w:textAlignment w:val="baseline"/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</w:rPr>
        <w:t xml:space="preserve">电气安装工程规费按照标准费率 </w:t>
      </w: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  <w:lang w:val="en-US" w:eastAsia="zh-CN"/>
        </w:rPr>
        <w:t>9.34</w:t>
      </w: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</w:rPr>
        <w:t>%计取。</w:t>
      </w:r>
    </w:p>
    <w:p w14:paraId="2E710A7F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52" w:firstLineChars="200"/>
        <w:textAlignment w:val="baseline"/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</w:rPr>
        <w:t>电气安装工程</w:t>
      </w: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  <w:lang w:val="en-US" w:eastAsia="zh-CN"/>
        </w:rPr>
        <w:t>销项税额</w:t>
      </w: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</w:rPr>
        <w:t>按照标准费率 9%计取。</w:t>
      </w:r>
    </w:p>
    <w:p w14:paraId="0186DF5A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52" w:firstLineChars="200"/>
        <w:textAlignment w:val="baseline"/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</w:rPr>
        <w:t>电气安装工程</w:t>
      </w: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  <w:lang w:val="en-US" w:eastAsia="zh-CN"/>
        </w:rPr>
        <w:t>附加税</w:t>
      </w: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</w:rPr>
        <w:t xml:space="preserve">按照标准费率 </w:t>
      </w: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  <w:lang w:val="en-US" w:eastAsia="zh-CN"/>
        </w:rPr>
        <w:t>0.313</w:t>
      </w: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</w:rPr>
        <w:t>%计取。</w:t>
      </w:r>
    </w:p>
    <w:p w14:paraId="352052D3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6" w:firstLineChars="2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  <w:lang w:val="en-US" w:eastAsia="zh-CN"/>
        </w:rPr>
        <w:t>8.成果文件提交</w:t>
      </w:r>
    </w:p>
    <w:p w14:paraId="16D101D8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6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pacing w:val="-1"/>
          <w:position w:val="20"/>
          <w:sz w:val="24"/>
          <w:szCs w:val="24"/>
          <w:highlight w:val="none"/>
        </w:rPr>
        <w:t>将完成的所有成果保存在</w:t>
      </w:r>
      <w:r>
        <w:rPr>
          <w:rFonts w:hint="eastAsia" w:ascii="微软雅黑" w:hAnsi="微软雅黑" w:eastAsia="微软雅黑" w:cs="微软雅黑"/>
          <w:color w:val="auto"/>
          <w:spacing w:val="-1"/>
          <w:position w:val="20"/>
          <w:sz w:val="24"/>
          <w:szCs w:val="24"/>
          <w:highlight w:val="none"/>
          <w:lang w:eastAsia="zh-CN"/>
        </w:rPr>
        <w:t>“</w:t>
      </w:r>
      <w:r>
        <w:rPr>
          <w:rFonts w:hint="eastAsia" w:ascii="微软雅黑" w:hAnsi="微软雅黑" w:eastAsia="微软雅黑" w:cs="微软雅黑"/>
          <w:color w:val="auto"/>
          <w:spacing w:val="-1"/>
          <w:position w:val="20"/>
          <w:sz w:val="24"/>
          <w:szCs w:val="24"/>
          <w:highlight w:val="none"/>
        </w:rPr>
        <w:t>赛项模块二</w:t>
      </w:r>
      <w:r>
        <w:rPr>
          <w:rFonts w:hint="eastAsia" w:ascii="微软雅黑" w:hAnsi="微软雅黑" w:eastAsia="微软雅黑" w:cs="微软雅黑"/>
          <w:color w:val="auto"/>
          <w:spacing w:val="-1"/>
          <w:position w:val="2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auto"/>
          <w:spacing w:val="-1"/>
          <w:position w:val="20"/>
          <w:sz w:val="24"/>
          <w:szCs w:val="24"/>
          <w:highlight w:val="none"/>
        </w:rPr>
        <w:t>安装工程-</w:t>
      </w:r>
      <w:r>
        <w:rPr>
          <w:rFonts w:hint="eastAsia" w:ascii="微软雅黑" w:hAnsi="微软雅黑" w:eastAsia="微软雅黑" w:cs="微软雅黑"/>
          <w:color w:val="auto"/>
          <w:spacing w:val="-1"/>
          <w:position w:val="20"/>
          <w:sz w:val="24"/>
          <w:szCs w:val="24"/>
          <w:highlight w:val="none"/>
          <w:lang w:val="en-US" w:eastAsia="zh-CN"/>
        </w:rPr>
        <w:t>第X组（抽签组号）</w:t>
      </w:r>
      <w:r>
        <w:rPr>
          <w:rFonts w:hint="eastAsia" w:ascii="微软雅黑" w:hAnsi="微软雅黑" w:eastAsia="微软雅黑" w:cs="微软雅黑"/>
          <w:color w:val="auto"/>
          <w:spacing w:val="-85"/>
          <w:position w:val="20"/>
          <w:sz w:val="24"/>
          <w:szCs w:val="24"/>
          <w:highlight w:val="none"/>
        </w:rPr>
        <w:t xml:space="preserve"> </w:t>
      </w:r>
      <w:r>
        <w:rPr>
          <w:rFonts w:hint="eastAsia" w:ascii="微软雅黑" w:hAnsi="微软雅黑" w:eastAsia="微软雅黑" w:cs="微软雅黑"/>
          <w:color w:val="auto"/>
          <w:spacing w:val="-85"/>
          <w:position w:val="20"/>
          <w:sz w:val="24"/>
          <w:szCs w:val="24"/>
          <w:highlight w:val="none"/>
          <w:lang w:eastAsia="zh-CN"/>
        </w:rPr>
        <w:t>”</w:t>
      </w:r>
      <w:r>
        <w:rPr>
          <w:rFonts w:hint="eastAsia" w:ascii="微软雅黑" w:hAnsi="微软雅黑" w:eastAsia="微软雅黑" w:cs="微软雅黑"/>
          <w:color w:val="auto"/>
          <w:spacing w:val="-85"/>
          <w:position w:val="2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color w:val="auto"/>
          <w:spacing w:val="-1"/>
          <w:position w:val="20"/>
          <w:sz w:val="24"/>
          <w:szCs w:val="24"/>
          <w:highlight w:val="none"/>
        </w:rPr>
        <w:t>文件夹内，文件名按以下规定名称命名：</w:t>
      </w:r>
    </w:p>
    <w:p w14:paraId="62DEF8D4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2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</w:rPr>
        <w:t>2-1</w:t>
      </w:r>
      <w:r>
        <w:rPr>
          <w:rFonts w:hint="eastAsia" w:ascii="微软雅黑" w:hAnsi="微软雅黑" w:eastAsia="微软雅黑" w:cs="微软雅黑"/>
          <w:color w:val="auto"/>
          <w:spacing w:val="-38"/>
          <w:sz w:val="24"/>
          <w:szCs w:val="24"/>
          <w:highlight w:val="none"/>
        </w:rPr>
        <w:t xml:space="preserve"> </w:t>
      </w:r>
      <w:r>
        <w:rPr>
          <w:rFonts w:hint="eastAsia" w:ascii="微软雅黑" w:hAnsi="微软雅黑" w:eastAsia="微软雅黑" w:cs="微软雅黑"/>
          <w:color w:val="auto"/>
          <w:spacing w:val="-38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</w:rPr>
        <w:t>电气工程投标文件（软件版）</w:t>
      </w:r>
    </w:p>
    <w:p w14:paraId="6FCA0E44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2" w:firstLineChars="200"/>
        <w:textAlignment w:val="baseline"/>
        <w:rPr>
          <w:rFonts w:hint="eastAsia" w:ascii="微软雅黑" w:hAnsi="微软雅黑" w:eastAsia="微软雅黑" w:cs="微软雅黑"/>
          <w:color w:val="auto"/>
          <w:spacing w:val="-2"/>
          <w:position w:val="17"/>
          <w:sz w:val="24"/>
          <w:szCs w:val="24"/>
          <w:highlight w:val="none"/>
          <w:lang w:val="en-US" w:eastAsia="zh-CN"/>
        </w:rPr>
      </w:pPr>
    </w:p>
    <w:p w14:paraId="492267CA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2" w:firstLineChars="200"/>
        <w:textAlignment w:val="baseline"/>
        <w:rPr>
          <w:rFonts w:hint="eastAsia" w:ascii="微软雅黑" w:hAnsi="微软雅黑" w:eastAsia="微软雅黑" w:cs="微软雅黑"/>
          <w:color w:val="auto"/>
          <w:spacing w:val="-2"/>
          <w:position w:val="17"/>
          <w:sz w:val="24"/>
          <w:szCs w:val="24"/>
          <w:highlight w:val="none"/>
          <w:lang w:val="en-US" w:eastAsia="zh-CN"/>
        </w:rPr>
      </w:pPr>
    </w:p>
    <w:p w14:paraId="53630B9F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2" w:firstLineChars="200"/>
        <w:textAlignment w:val="baseline"/>
        <w:rPr>
          <w:rFonts w:hint="eastAsia" w:ascii="微软雅黑" w:hAnsi="微软雅黑" w:eastAsia="微软雅黑" w:cs="微软雅黑"/>
          <w:color w:val="auto"/>
          <w:spacing w:val="-2"/>
          <w:position w:val="17"/>
          <w:sz w:val="24"/>
          <w:szCs w:val="24"/>
          <w:highlight w:val="none"/>
          <w:lang w:val="en-US" w:eastAsia="zh-CN"/>
        </w:rPr>
      </w:pPr>
    </w:p>
    <w:p w14:paraId="61331718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2" w:firstLineChars="200"/>
        <w:textAlignment w:val="baseline"/>
        <w:rPr>
          <w:rFonts w:hint="eastAsia" w:ascii="微软雅黑" w:hAnsi="微软雅黑" w:eastAsia="微软雅黑" w:cs="微软雅黑"/>
          <w:color w:val="auto"/>
          <w:spacing w:val="-2"/>
          <w:position w:val="17"/>
          <w:sz w:val="24"/>
          <w:szCs w:val="24"/>
          <w:highlight w:val="none"/>
          <w:lang w:val="en-US" w:eastAsia="zh-CN"/>
        </w:rPr>
      </w:pPr>
    </w:p>
    <w:p w14:paraId="3E74DD98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2" w:firstLineChars="200"/>
        <w:textAlignment w:val="baseline"/>
        <w:rPr>
          <w:rFonts w:hint="eastAsia" w:ascii="微软雅黑" w:hAnsi="微软雅黑" w:eastAsia="微软雅黑" w:cs="微软雅黑"/>
          <w:color w:val="auto"/>
          <w:spacing w:val="-2"/>
          <w:position w:val="17"/>
          <w:sz w:val="24"/>
          <w:szCs w:val="24"/>
          <w:highlight w:val="none"/>
          <w:lang w:val="en-US" w:eastAsia="zh-CN"/>
        </w:rPr>
      </w:pPr>
    </w:p>
    <w:p w14:paraId="00329BBB">
      <w:pPr>
        <w:pStyle w:val="1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34" w:firstLineChars="1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pacing w:val="-3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pacing w:val="-3"/>
          <w:sz w:val="24"/>
          <w:szCs w:val="24"/>
          <w:highlight w:val="none"/>
        </w:rPr>
        <w:t>（二）给排水工程投标报价文件的编制</w:t>
      </w:r>
    </w:p>
    <w:p w14:paraId="37C7EE23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68" w:firstLineChars="2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pacing w:val="-3"/>
          <w:sz w:val="24"/>
          <w:szCs w:val="24"/>
          <w:highlight w:val="none"/>
        </w:rPr>
        <w:t>1</w:t>
      </w:r>
      <w:r>
        <w:rPr>
          <w:rFonts w:hint="eastAsia" w:ascii="微软雅黑" w:hAnsi="微软雅黑" w:eastAsia="微软雅黑" w:cs="微软雅黑"/>
          <w:b/>
          <w:bCs/>
          <w:color w:val="auto"/>
          <w:spacing w:val="-3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微软雅黑" w:hAnsi="微软雅黑" w:eastAsia="微软雅黑" w:cs="微软雅黑"/>
          <w:b/>
          <w:bCs/>
          <w:color w:val="auto"/>
          <w:spacing w:val="-3"/>
          <w:sz w:val="24"/>
          <w:szCs w:val="24"/>
          <w:highlight w:val="none"/>
        </w:rPr>
        <w:t>新建工程及工程设置</w:t>
      </w:r>
    </w:p>
    <w:p w14:paraId="07CF7C04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</w:rPr>
        <w:t>根据提供的工程文件，完成计价工程的创建，选用增值税（一般计税法）编制投标报价文件，规范选用</w:t>
      </w:r>
      <w:r>
        <w:rPr>
          <w:rFonts w:hint="eastAsia" w:ascii="微软雅黑" w:hAnsi="微软雅黑" w:eastAsia="微软雅黑" w:cs="微软雅黑"/>
          <w:color w:val="auto"/>
          <w:spacing w:val="-1"/>
          <w:position w:val="17"/>
          <w:sz w:val="24"/>
          <w:szCs w:val="24"/>
          <w:highlight w:val="none"/>
        </w:rPr>
        <w:t>《建设工程工程量清单计</w:t>
      </w: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</w:rPr>
        <w:t>价规范》 (GB50500-2013)、《通用安装工程工程量计算规范》 (GB50856—2013)</w:t>
      </w: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eastAsia="zh-CN"/>
        </w:rPr>
        <w:t>、《四川省建设工程工程量清单计价定额》（2020 版）</w:t>
      </w: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</w:rPr>
        <w:t>。</w:t>
      </w:r>
    </w:p>
    <w:p w14:paraId="1353BCCE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2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</w:rPr>
        <w:t>本工程项目名称为“某</w:t>
      </w:r>
      <w:r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  <w:lang w:val="en-US" w:eastAsia="zh-CN"/>
        </w:rPr>
        <w:t>综合</w:t>
      </w:r>
      <w:r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</w:rPr>
        <w:t>楼</w:t>
      </w:r>
      <w:r>
        <w:rPr>
          <w:rFonts w:hint="eastAsia" w:ascii="微软雅黑" w:hAnsi="微软雅黑" w:eastAsia="微软雅黑" w:cs="微软雅黑"/>
          <w:color w:val="auto"/>
          <w:spacing w:val="-89"/>
          <w:sz w:val="24"/>
          <w:szCs w:val="24"/>
          <w:highlight w:val="none"/>
        </w:rPr>
        <w:t xml:space="preserve"> </w:t>
      </w:r>
      <w:r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</w:rPr>
        <w:t xml:space="preserve">”，建筑面积为 </w:t>
      </w:r>
      <w:r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  <w:lang w:val="en-US" w:eastAsia="zh-CN"/>
        </w:rPr>
        <w:t>46</w:t>
      </w:r>
      <w:r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</w:rPr>
        <w:t>83.98</w:t>
      </w:r>
      <w:r>
        <w:rPr>
          <w:rFonts w:hint="eastAsia" w:ascii="微软雅黑" w:hAnsi="微软雅黑" w:eastAsia="微软雅黑" w:cs="微软雅黑"/>
          <w:color w:val="auto"/>
          <w:spacing w:val="-3"/>
          <w:sz w:val="24"/>
          <w:szCs w:val="24"/>
          <w:highlight w:val="none"/>
        </w:rPr>
        <w:t xml:space="preserve"> ㎡</w:t>
      </w:r>
      <w:r>
        <w:rPr>
          <w:rFonts w:hint="eastAsia" w:ascii="微软雅黑" w:hAnsi="微软雅黑" w:eastAsia="微软雅黑" w:cs="微软雅黑"/>
          <w:color w:val="auto"/>
          <w:spacing w:val="-71"/>
          <w:sz w:val="24"/>
          <w:szCs w:val="24"/>
          <w:highlight w:val="none"/>
        </w:rPr>
        <w:t xml:space="preserve"> </w:t>
      </w:r>
      <w:r>
        <w:rPr>
          <w:rFonts w:hint="eastAsia" w:ascii="微软雅黑" w:hAnsi="微软雅黑" w:eastAsia="微软雅黑" w:cs="微软雅黑"/>
          <w:color w:val="auto"/>
          <w:spacing w:val="-3"/>
          <w:sz w:val="24"/>
          <w:szCs w:val="24"/>
          <w:highlight w:val="none"/>
        </w:rPr>
        <w:t>，结构类型：框架结构</w:t>
      </w:r>
      <w:r>
        <w:rPr>
          <w:rFonts w:hint="eastAsia" w:ascii="微软雅黑" w:hAnsi="微软雅黑" w:eastAsia="微软雅黑" w:cs="微软雅黑"/>
          <w:color w:val="auto"/>
          <w:spacing w:val="29"/>
          <w:sz w:val="24"/>
          <w:szCs w:val="24"/>
          <w:highlight w:val="none"/>
        </w:rPr>
        <w:t xml:space="preserve"> </w:t>
      </w:r>
      <w:r>
        <w:rPr>
          <w:rFonts w:hint="eastAsia" w:ascii="微软雅黑" w:hAnsi="微软雅黑" w:eastAsia="微软雅黑" w:cs="微软雅黑"/>
          <w:color w:val="auto"/>
          <w:spacing w:val="-3"/>
          <w:sz w:val="24"/>
          <w:szCs w:val="24"/>
          <w:highlight w:val="none"/>
        </w:rPr>
        <w:t>，项目位置：</w:t>
      </w:r>
      <w:r>
        <w:rPr>
          <w:rFonts w:hint="eastAsia" w:ascii="微软雅黑" w:hAnsi="微软雅黑" w:eastAsia="微软雅黑" w:cs="微软雅黑"/>
          <w:color w:val="auto"/>
          <w:spacing w:val="-3"/>
          <w:sz w:val="24"/>
          <w:szCs w:val="24"/>
          <w:highlight w:val="none"/>
          <w:lang w:val="en-US" w:eastAsia="zh-CN"/>
        </w:rPr>
        <w:t>四川</w:t>
      </w:r>
      <w:r>
        <w:rPr>
          <w:rFonts w:hint="eastAsia" w:ascii="微软雅黑" w:hAnsi="微软雅黑" w:eastAsia="微软雅黑" w:cs="微软雅黑"/>
          <w:color w:val="auto"/>
          <w:spacing w:val="-3"/>
          <w:sz w:val="24"/>
          <w:szCs w:val="24"/>
          <w:highlight w:val="none"/>
        </w:rPr>
        <w:t>省</w:t>
      </w:r>
      <w:r>
        <w:rPr>
          <w:rFonts w:hint="eastAsia" w:ascii="微软雅黑" w:hAnsi="微软雅黑" w:eastAsia="微软雅黑" w:cs="微软雅黑"/>
          <w:color w:val="auto"/>
          <w:spacing w:val="-3"/>
          <w:sz w:val="24"/>
          <w:szCs w:val="24"/>
          <w:highlight w:val="none"/>
          <w:lang w:val="en-US" w:eastAsia="zh-CN"/>
        </w:rPr>
        <w:t>成都市市区</w:t>
      </w:r>
      <w:r>
        <w:rPr>
          <w:rFonts w:hint="eastAsia" w:ascii="微软雅黑" w:hAnsi="微软雅黑" w:eastAsia="微软雅黑" w:cs="微软雅黑"/>
          <w:color w:val="auto"/>
          <w:spacing w:val="-3"/>
          <w:sz w:val="24"/>
          <w:szCs w:val="24"/>
          <w:highlight w:val="none"/>
        </w:rPr>
        <w:t>。</w:t>
      </w:r>
    </w:p>
    <w:p w14:paraId="326AD5D9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6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pacing w:val="-1"/>
          <w:sz w:val="24"/>
          <w:szCs w:val="24"/>
          <w:highlight w:val="none"/>
        </w:rPr>
        <w:t>已公示投标最高限价：248997.68元，大写：贰拾肆万捌仟玖佰玖拾柒元陆角捌分</w:t>
      </w:r>
      <w:r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</w:rPr>
        <w:t>。</w:t>
      </w:r>
    </w:p>
    <w:p w14:paraId="38C1CF07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6" w:firstLineChars="2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</w:rPr>
        <w:t>2</w:t>
      </w:r>
      <w:r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</w:rPr>
        <w:t>分部分项工程费组价与调价</w:t>
      </w:r>
    </w:p>
    <w:p w14:paraId="121347F6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6" w:firstLineChars="200"/>
        <w:textAlignment w:val="baseline"/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pacing w:val="-1"/>
          <w:position w:val="17"/>
          <w:sz w:val="24"/>
          <w:szCs w:val="24"/>
          <w:highlight w:val="none"/>
        </w:rPr>
        <w:t>根据所给出的分部分项工程量清单报表，结合《</w:t>
      </w:r>
      <w:r>
        <w:rPr>
          <w:rFonts w:hint="eastAsia" w:ascii="微软雅黑" w:hAnsi="微软雅黑" w:eastAsia="微软雅黑" w:cs="微软雅黑"/>
          <w:color w:val="auto"/>
          <w:spacing w:val="-1"/>
          <w:position w:val="17"/>
          <w:sz w:val="24"/>
          <w:szCs w:val="24"/>
          <w:highlight w:val="none"/>
          <w:lang w:val="en-US" w:eastAsia="zh-CN"/>
        </w:rPr>
        <w:t>四川省建设工程工程量清单计价定额</w:t>
      </w:r>
      <w:r>
        <w:rPr>
          <w:rFonts w:hint="eastAsia" w:ascii="微软雅黑" w:hAnsi="微软雅黑" w:eastAsia="微软雅黑" w:cs="微软雅黑"/>
          <w:color w:val="auto"/>
          <w:spacing w:val="-1"/>
          <w:position w:val="17"/>
          <w:sz w:val="24"/>
          <w:szCs w:val="24"/>
          <w:highlight w:val="none"/>
        </w:rPr>
        <w:t>》（</w:t>
      </w:r>
      <w:r>
        <w:rPr>
          <w:rFonts w:hint="eastAsia" w:ascii="微软雅黑" w:hAnsi="微软雅黑" w:eastAsia="微软雅黑" w:cs="微软雅黑"/>
          <w:color w:val="auto"/>
          <w:spacing w:val="-1"/>
          <w:position w:val="17"/>
          <w:sz w:val="24"/>
          <w:szCs w:val="24"/>
          <w:highlight w:val="none"/>
          <w:lang w:val="en-US" w:eastAsia="zh-CN"/>
        </w:rPr>
        <w:t>2020</w:t>
      </w:r>
      <w:r>
        <w:rPr>
          <w:rFonts w:hint="eastAsia" w:ascii="微软雅黑" w:hAnsi="微软雅黑" w:eastAsia="微软雅黑" w:cs="微软雅黑"/>
          <w:color w:val="auto"/>
          <w:spacing w:val="-48"/>
          <w:position w:val="17"/>
          <w:sz w:val="24"/>
          <w:szCs w:val="24"/>
          <w:highlight w:val="none"/>
        </w:rPr>
        <w:t xml:space="preserve"> </w:t>
      </w:r>
      <w:r>
        <w:rPr>
          <w:rFonts w:hint="eastAsia" w:ascii="微软雅黑" w:hAnsi="微软雅黑" w:eastAsia="微软雅黑" w:cs="微软雅黑"/>
          <w:color w:val="auto"/>
          <w:spacing w:val="-1"/>
          <w:position w:val="17"/>
          <w:sz w:val="24"/>
          <w:szCs w:val="24"/>
          <w:highlight w:val="none"/>
        </w:rPr>
        <w:t>版</w:t>
      </w:r>
      <w:r>
        <w:rPr>
          <w:rFonts w:hint="eastAsia" w:ascii="微软雅黑" w:hAnsi="微软雅黑" w:eastAsia="微软雅黑" w:cs="微软雅黑"/>
          <w:color w:val="auto"/>
          <w:spacing w:val="6"/>
          <w:position w:val="17"/>
          <w:sz w:val="24"/>
          <w:szCs w:val="24"/>
          <w:highlight w:val="none"/>
        </w:rPr>
        <w:t>），</w:t>
      </w:r>
      <w:r>
        <w:rPr>
          <w:rFonts w:hint="eastAsia" w:ascii="微软雅黑" w:hAnsi="微软雅黑" w:eastAsia="微软雅黑" w:cs="微软雅黑"/>
          <w:color w:val="auto"/>
          <w:spacing w:val="-1"/>
          <w:position w:val="17"/>
          <w:sz w:val="24"/>
          <w:szCs w:val="24"/>
          <w:highlight w:val="none"/>
        </w:rPr>
        <w:t>完成工程组价，并按项目特征描述进行换算。</w:t>
      </w:r>
    </w:p>
    <w:p w14:paraId="3EA2B69F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6" w:firstLineChars="2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</w:rPr>
        <w:t>地区人工费费率调整</w:t>
      </w:r>
    </w:p>
    <w:p w14:paraId="7D9FB49B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6" w:firstLineChars="200"/>
        <w:textAlignment w:val="baseline"/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pacing w:val="-1"/>
          <w:position w:val="17"/>
          <w:sz w:val="24"/>
          <w:szCs w:val="24"/>
          <w:highlight w:val="none"/>
          <w:lang w:val="en-US" w:eastAsia="zh-CN"/>
        </w:rPr>
        <w:t>安装工程按16.09%计取。</w:t>
      </w:r>
    </w:p>
    <w:p w14:paraId="592ADE6B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2" w:firstLineChars="2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pacing w:val="-2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微软雅黑" w:hAnsi="微软雅黑" w:eastAsia="微软雅黑" w:cs="微软雅黑"/>
          <w:b/>
          <w:bCs/>
          <w:color w:val="auto"/>
          <w:spacing w:val="-2"/>
          <w:sz w:val="24"/>
          <w:szCs w:val="24"/>
          <w:highlight w:val="none"/>
        </w:rPr>
        <w:t>措施项目费组价与调价</w:t>
      </w:r>
    </w:p>
    <w:p w14:paraId="61EE09CE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  <w:t>单价</w:t>
      </w: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</w:rPr>
        <w:t>措施费仅计取脚手架搭拆费及高层施工增加费两项，其中脚手架搭拆费投标按照（</w:t>
      </w: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  <w:t xml:space="preserve">K </w:t>
      </w: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</w:rPr>
        <w:t>给排水、采暖、燃气工程)</w:t>
      </w:r>
      <w:r>
        <w:rPr>
          <w:rFonts w:hint="eastAsia" w:ascii="微软雅黑" w:hAnsi="微软雅黑" w:eastAsia="微软雅黑" w:cs="微软雅黑"/>
          <w:color w:val="auto"/>
          <w:spacing w:val="-1"/>
          <w:position w:val="17"/>
          <w:sz w:val="24"/>
          <w:szCs w:val="24"/>
          <w:highlight w:val="none"/>
        </w:rPr>
        <w:t>）计取、高层施工增</w:t>
      </w: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</w:rPr>
        <w:t>加费投标按“建筑物超高增加费</w:t>
      </w: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  <w:t>_建筑物高度≤</w:t>
      </w: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</w:rPr>
        <w:t>(40m) ”考虑，按照（</w:t>
      </w: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  <w:t xml:space="preserve">K </w:t>
      </w: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</w:rPr>
        <w:t>给排水、采暖、燃气工程）计取；</w:t>
      </w:r>
    </w:p>
    <w:p w14:paraId="43B3C4D9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  <w:t>总价措施费中仅计取安全文明施工基本费，按《四川省建设工程工程量清单计价定额》（2020 版），环境保护费、文明施工费、安全施工费、临时施工费费率设置分别为 0.55%、2.3%、3.95%、3%；</w:t>
      </w:r>
    </w:p>
    <w:p w14:paraId="05CD17C3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6" w:firstLineChars="2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</w:rPr>
        <w:t>其他项目费组价与调价</w:t>
      </w:r>
    </w:p>
    <w:p w14:paraId="31DB367F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6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pacing w:val="-1"/>
          <w:sz w:val="24"/>
          <w:szCs w:val="24"/>
          <w:highlight w:val="none"/>
        </w:rPr>
        <w:t>不计取暂列金额、暂估价、计日工、总承包服务费。</w:t>
      </w:r>
    </w:p>
    <w:p w14:paraId="4E8BD014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68" w:firstLineChars="2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pacing w:val="-3"/>
          <w:sz w:val="24"/>
          <w:szCs w:val="24"/>
          <w:highlight w:val="none"/>
          <w:lang w:val="en-US" w:eastAsia="zh-CN"/>
        </w:rPr>
        <w:t>6.</w:t>
      </w:r>
      <w:r>
        <w:rPr>
          <w:rFonts w:hint="eastAsia" w:ascii="微软雅黑" w:hAnsi="微软雅黑" w:eastAsia="微软雅黑" w:cs="微软雅黑"/>
          <w:b/>
          <w:bCs/>
          <w:color w:val="auto"/>
          <w:spacing w:val="-3"/>
          <w:sz w:val="24"/>
          <w:szCs w:val="24"/>
          <w:highlight w:val="none"/>
        </w:rPr>
        <w:t>材料市场价</w:t>
      </w:r>
    </w:p>
    <w:p w14:paraId="5A4B403A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  <w:t>根据工程资料中给定的安装工程主材价格表进行材料价格调整。（未给定的</w:t>
      </w:r>
      <w:r>
        <w:rPr>
          <w:rFonts w:hint="default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  <w:br w:type="textWrapping"/>
      </w:r>
      <w:r>
        <w:rPr>
          <w:rFonts w:hint="default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  <w:t>按照定额上的价格不做调整）</w:t>
      </w:r>
    </w:p>
    <w:p w14:paraId="30FB1D94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6" w:firstLineChars="2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  <w:lang w:val="en-US" w:eastAsia="zh-CN"/>
        </w:rPr>
        <w:t>7.</w:t>
      </w:r>
      <w:r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</w:rPr>
        <w:t>规费和税金</w:t>
      </w:r>
    </w:p>
    <w:p w14:paraId="60F829FA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52" w:firstLineChars="200"/>
        <w:textAlignment w:val="baseline"/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  <w:lang w:val="en-US" w:eastAsia="zh-CN"/>
        </w:rPr>
        <w:t>给排水</w:t>
      </w: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</w:rPr>
        <w:t xml:space="preserve">安装工程规费按照标准费率 </w:t>
      </w: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  <w:lang w:val="en-US" w:eastAsia="zh-CN"/>
        </w:rPr>
        <w:t>9.34</w:t>
      </w: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</w:rPr>
        <w:t>%计取。</w:t>
      </w:r>
    </w:p>
    <w:p w14:paraId="742A3A73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52" w:firstLineChars="200"/>
        <w:textAlignment w:val="baseline"/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  <w:lang w:val="en-US" w:eastAsia="zh-CN"/>
        </w:rPr>
        <w:t>给排水</w:t>
      </w: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</w:rPr>
        <w:t>安装工程</w:t>
      </w: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  <w:lang w:val="en-US" w:eastAsia="zh-CN"/>
        </w:rPr>
        <w:t>销项税额</w:t>
      </w: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</w:rPr>
        <w:t>按照标准费率 9%计取。</w:t>
      </w:r>
    </w:p>
    <w:p w14:paraId="4240A605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52" w:firstLineChars="200"/>
        <w:textAlignment w:val="baseline"/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  <w:lang w:val="en-US" w:eastAsia="zh-CN"/>
        </w:rPr>
        <w:t>给排水</w:t>
      </w: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</w:rPr>
        <w:t>安装工程</w:t>
      </w: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  <w:lang w:val="en-US" w:eastAsia="zh-CN"/>
        </w:rPr>
        <w:t>附加税</w:t>
      </w: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</w:rPr>
        <w:t xml:space="preserve">按照标准费率 </w:t>
      </w: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  <w:lang w:val="en-US" w:eastAsia="zh-CN"/>
        </w:rPr>
        <w:t>0.313</w:t>
      </w:r>
      <w:r>
        <w:rPr>
          <w:rFonts w:hint="eastAsia" w:ascii="微软雅黑" w:hAnsi="微软雅黑" w:eastAsia="微软雅黑" w:cs="微软雅黑"/>
          <w:color w:val="auto"/>
          <w:spacing w:val="-7"/>
          <w:position w:val="21"/>
          <w:sz w:val="24"/>
          <w:szCs w:val="24"/>
          <w:highlight w:val="none"/>
        </w:rPr>
        <w:t>%计取。</w:t>
      </w:r>
    </w:p>
    <w:p w14:paraId="0BA09D82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6" w:firstLineChars="2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  <w:lang w:val="en-US" w:eastAsia="zh-CN"/>
        </w:rPr>
        <w:t>8.成果文件提交</w:t>
      </w:r>
    </w:p>
    <w:p w14:paraId="574C2F62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  <w:t>将完成的所有成果保存在“赛项模块二 安装工程-第X组（抽签组号）”文件夹内，文件名按以下规定名称命名：</w:t>
      </w:r>
    </w:p>
    <w:p w14:paraId="630FD7BB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  <w:t>2-2  给排水工程投标文件（软件版）</w:t>
      </w:r>
    </w:p>
    <w:p w14:paraId="26A20D95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</w:pPr>
    </w:p>
    <w:p w14:paraId="40809A41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</w:pPr>
    </w:p>
    <w:p w14:paraId="3E654361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</w:pPr>
    </w:p>
    <w:p w14:paraId="33614E36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</w:pPr>
    </w:p>
    <w:p w14:paraId="095FF795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default" w:eastAsia="微软雅黑"/>
          <w:b/>
          <w:bCs/>
          <w:color w:val="auto"/>
          <w:spacing w:val="-6"/>
          <w:highlight w:val="none"/>
          <w:lang w:val="en-US" w:eastAsia="zh-CN"/>
        </w:rPr>
      </w:pPr>
      <w:r>
        <w:rPr>
          <w:rFonts w:hint="eastAsia"/>
          <w:b/>
          <w:bCs/>
          <w:color w:val="auto"/>
          <w:spacing w:val="-6"/>
          <w:highlight w:val="none"/>
          <w:lang w:val="en-US" w:eastAsia="zh-CN"/>
        </w:rPr>
        <w:t>第三部分</w:t>
      </w:r>
      <w:r>
        <w:rPr>
          <w:b/>
          <w:bCs/>
          <w:color w:val="auto"/>
          <w:spacing w:val="-6"/>
          <w:highlight w:val="none"/>
        </w:rPr>
        <w:t>：</w:t>
      </w:r>
      <w:r>
        <w:rPr>
          <w:rFonts w:hint="eastAsia"/>
          <w:b/>
          <w:bCs/>
          <w:color w:val="auto"/>
          <w:spacing w:val="-6"/>
          <w:highlight w:val="none"/>
          <w:lang w:val="en-US" w:eastAsia="zh-CN"/>
        </w:rPr>
        <w:t>价款调整（20分）</w:t>
      </w:r>
    </w:p>
    <w:p w14:paraId="250607B1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cs="微软雅黑"/>
          <w:color w:val="auto"/>
          <w:spacing w:val="-2"/>
          <w:position w:val="17"/>
          <w:sz w:val="24"/>
          <w:szCs w:val="24"/>
          <w:highlight w:val="none"/>
          <w:lang w:val="en-US" w:eastAsia="zh-CN"/>
        </w:rPr>
      </w:pPr>
      <w:r>
        <w:rPr>
          <w:rFonts w:hint="eastAsia" w:cs="微软雅黑"/>
          <w:color w:val="auto"/>
          <w:spacing w:val="-2"/>
          <w:position w:val="17"/>
          <w:sz w:val="24"/>
          <w:szCs w:val="24"/>
          <w:highlight w:val="none"/>
          <w:lang w:val="en-US" w:eastAsia="zh-CN"/>
        </w:rPr>
        <w:t>建筑与装饰工程价款调整</w:t>
      </w:r>
    </w:p>
    <w:p w14:paraId="00AEF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textAlignment w:val="auto"/>
        <w:rPr>
          <w:rFonts w:hint="eastAsia" w:ascii="微软雅黑" w:hAnsi="微软雅黑" w:eastAsia="微软雅黑" w:cs="微软雅黑"/>
          <w:snapToGrid w:val="0"/>
          <w:color w:val="auto"/>
          <w:kern w:val="0"/>
          <w:position w:val="17"/>
          <w:sz w:val="24"/>
          <w:szCs w:val="24"/>
          <w:highlight w:val="none"/>
          <w:lang w:val="en-US" w:eastAsia="zh-CN" w:bidi="ar-SA"/>
        </w:rPr>
      </w:pPr>
      <w:r>
        <w:rPr>
          <w:rFonts w:hint="eastAsia" w:ascii="微软雅黑" w:hAnsi="微软雅黑" w:eastAsia="微软雅黑" w:cs="微软雅黑"/>
          <w:snapToGrid w:val="0"/>
          <w:color w:val="auto"/>
          <w:kern w:val="0"/>
          <w:position w:val="17"/>
          <w:sz w:val="24"/>
          <w:szCs w:val="24"/>
          <w:highlight w:val="none"/>
          <w:lang w:val="en-US" w:eastAsia="zh-CN" w:bidi="ar-SA"/>
        </w:rPr>
        <w:t>1.1某办公楼工程，工程海拔400m，采用一般计税模式，建设单位委托 A 公司编制了招标工程量清单和招标控制价，经过投标、评标、定标，B公司中标。工程如期开工，施工过程中发生如下事件：</w:t>
      </w:r>
    </w:p>
    <w:p w14:paraId="42D04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textAlignment w:val="auto"/>
        <w:rPr>
          <w:rFonts w:hint="eastAsia" w:ascii="微软雅黑" w:hAnsi="微软雅黑" w:eastAsia="微软雅黑" w:cs="微软雅黑"/>
          <w:snapToGrid w:val="0"/>
          <w:color w:val="auto"/>
          <w:kern w:val="0"/>
          <w:position w:val="17"/>
          <w:sz w:val="24"/>
          <w:szCs w:val="24"/>
          <w:highlight w:val="none"/>
          <w:lang w:val="en-US" w:eastAsia="zh-CN" w:bidi="ar-SA"/>
        </w:rPr>
      </w:pPr>
      <w:r>
        <w:rPr>
          <w:rFonts w:hint="eastAsia" w:ascii="微软雅黑" w:hAnsi="微软雅黑" w:eastAsia="微软雅黑" w:cs="微软雅黑"/>
          <w:snapToGrid w:val="0"/>
          <w:color w:val="auto"/>
          <w:kern w:val="0"/>
          <w:position w:val="17"/>
          <w:sz w:val="24"/>
          <w:szCs w:val="24"/>
          <w:highlight w:val="none"/>
          <w:lang w:val="en-US" w:eastAsia="zh-CN" w:bidi="ar-SA"/>
        </w:rPr>
        <w:t>（1）开工前，经建设、设计、监理、施工各方进行了图纸会审，图纸会审问题：地下室结构图纸未给出地下室外墙上框架柱混凝土C30是否抗渗。设计回复：外墙上框架柱均需抗渗，做法同地下室侧壁，采用C30 P6抗渗混凝土。投标人对商品混凝土的报价如表1-1所示，地下室外墙上框架柱中标综合单价分析表如图1-1，其中人工价差调整费率为13.84%。</w:t>
      </w:r>
    </w:p>
    <w:p w14:paraId="72714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textAlignment w:val="auto"/>
        <w:rPr>
          <w:rFonts w:hint="eastAsia" w:ascii="微软雅黑" w:hAnsi="微软雅黑" w:eastAsia="微软雅黑" w:cs="微软雅黑"/>
          <w:snapToGrid w:val="0"/>
          <w:color w:val="auto"/>
          <w:kern w:val="0"/>
          <w:position w:val="17"/>
          <w:sz w:val="24"/>
          <w:szCs w:val="24"/>
          <w:highlight w:val="none"/>
          <w:lang w:val="en-US" w:eastAsia="zh-CN" w:bidi="ar-SA"/>
        </w:rPr>
      </w:pPr>
      <w:r>
        <w:rPr>
          <w:rFonts w:hint="eastAsia" w:ascii="微软雅黑" w:hAnsi="微软雅黑" w:eastAsia="微软雅黑" w:cs="微软雅黑"/>
          <w:snapToGrid w:val="0"/>
          <w:color w:val="auto"/>
          <w:kern w:val="0"/>
          <w:position w:val="17"/>
          <w:sz w:val="24"/>
          <w:szCs w:val="24"/>
          <w:highlight w:val="none"/>
          <w:lang w:val="en-US" w:eastAsia="zh-CN" w:bidi="ar-SA"/>
        </w:rPr>
        <w:t>针对以上情况请分析：C30 P6 框架柱清单项综合单价为多少元/m3？</w:t>
      </w:r>
    </w:p>
    <w:p w14:paraId="7E8846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20" w:firstLineChars="200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表1-1 </w:t>
      </w:r>
    </w:p>
    <w:tbl>
      <w:tblPr>
        <w:tblStyle w:val="6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3"/>
        <w:gridCol w:w="2089"/>
        <w:gridCol w:w="1917"/>
        <w:gridCol w:w="2413"/>
      </w:tblGrid>
      <w:tr w14:paraId="74CB0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00" w:hRule="atLeast"/>
        </w:trPr>
        <w:tc>
          <w:tcPr>
            <w:tcW w:w="1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0C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20" w:firstLineChars="200"/>
              <w:jc w:val="center"/>
              <w:textAlignment w:val="auto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名称</w:t>
            </w: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91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20" w:firstLineChars="200"/>
              <w:jc w:val="center"/>
              <w:textAlignment w:val="auto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规格</w:t>
            </w:r>
          </w:p>
        </w:tc>
        <w:tc>
          <w:tcPr>
            <w:tcW w:w="10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4A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20" w:firstLineChars="200"/>
              <w:jc w:val="center"/>
              <w:textAlignment w:val="auto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单位</w:t>
            </w:r>
          </w:p>
        </w:tc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06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单价/元</w:t>
            </w:r>
          </w:p>
        </w:tc>
      </w:tr>
      <w:tr w14:paraId="24B21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14F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20" w:firstLineChars="200"/>
              <w:jc w:val="center"/>
              <w:textAlignment w:val="auto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商品混凝土</w:t>
            </w: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94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C30 P6</w:t>
            </w:r>
          </w:p>
        </w:tc>
        <w:tc>
          <w:tcPr>
            <w:tcW w:w="10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46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20" w:firstLineChars="200"/>
              <w:jc w:val="center"/>
              <w:textAlignment w:val="auto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m3</w:t>
            </w:r>
          </w:p>
        </w:tc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02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20" w:firstLineChars="200"/>
              <w:jc w:val="center"/>
              <w:textAlignment w:val="auto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481</w:t>
            </w:r>
          </w:p>
        </w:tc>
      </w:tr>
      <w:tr w14:paraId="5480B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0B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20" w:firstLineChars="200"/>
              <w:jc w:val="center"/>
              <w:textAlignment w:val="auto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商品混凝土</w:t>
            </w: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59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20" w:firstLineChars="200"/>
              <w:jc w:val="center"/>
              <w:textAlignment w:val="auto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C30</w:t>
            </w:r>
          </w:p>
        </w:tc>
        <w:tc>
          <w:tcPr>
            <w:tcW w:w="10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BF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20" w:firstLineChars="200"/>
              <w:jc w:val="center"/>
              <w:textAlignment w:val="auto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m3</w:t>
            </w:r>
          </w:p>
        </w:tc>
        <w:tc>
          <w:tcPr>
            <w:tcW w:w="1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6F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20" w:firstLineChars="200"/>
              <w:jc w:val="center"/>
              <w:textAlignment w:val="auto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465</w:t>
            </w:r>
          </w:p>
        </w:tc>
      </w:tr>
    </w:tbl>
    <w:p w14:paraId="4499F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20" w:firstLineChars="200"/>
        <w:textAlignment w:val="auto"/>
        <w:rPr>
          <w:rFonts w:hint="eastAsia"/>
          <w:color w:val="auto"/>
          <w:highlight w:val="none"/>
          <w:lang w:val="en-US" w:eastAsia="zh-CN"/>
        </w:rPr>
      </w:pPr>
    </w:p>
    <w:p w14:paraId="3CF4A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20" w:firstLineChars="200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color w:val="auto"/>
          <w:highlight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502920</wp:posOffset>
            </wp:positionH>
            <wp:positionV relativeFrom="paragraph">
              <wp:posOffset>175895</wp:posOffset>
            </wp:positionV>
            <wp:extent cx="4650740" cy="1837055"/>
            <wp:effectExtent l="0" t="0" r="16510" b="1079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0740" cy="183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auto"/>
          <w:highlight w:val="none"/>
          <w:lang w:val="en-US" w:eastAsia="zh-CN"/>
        </w:rPr>
        <w:t>图1-1</w:t>
      </w:r>
    </w:p>
    <w:p w14:paraId="129824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color w:val="auto"/>
          <w:highlight w:val="none"/>
        </w:rPr>
      </w:pPr>
    </w:p>
    <w:p w14:paraId="4F7BE5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color w:val="auto"/>
          <w:highlight w:val="none"/>
        </w:rPr>
      </w:pPr>
    </w:p>
    <w:p w14:paraId="0C812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color w:val="auto"/>
          <w:highlight w:val="none"/>
        </w:rPr>
      </w:pPr>
    </w:p>
    <w:p w14:paraId="56D2B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color w:val="auto"/>
          <w:highlight w:val="none"/>
        </w:rPr>
      </w:pPr>
    </w:p>
    <w:p w14:paraId="2834A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color w:val="auto"/>
          <w:highlight w:val="none"/>
        </w:rPr>
      </w:pPr>
    </w:p>
    <w:p w14:paraId="72D6C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color w:val="auto"/>
          <w:highlight w:val="none"/>
        </w:rPr>
      </w:pPr>
    </w:p>
    <w:p w14:paraId="5AAD4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color w:val="auto"/>
          <w:highlight w:val="none"/>
        </w:rPr>
      </w:pPr>
    </w:p>
    <w:p w14:paraId="5D67D7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color w:val="auto"/>
          <w:highlight w:val="none"/>
        </w:rPr>
      </w:pPr>
    </w:p>
    <w:p w14:paraId="568AC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color w:val="auto"/>
          <w:highlight w:val="none"/>
        </w:rPr>
      </w:pPr>
    </w:p>
    <w:p w14:paraId="2CF405B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textAlignment w:val="auto"/>
        <w:rPr>
          <w:rFonts w:hint="eastAsia" w:ascii="微软雅黑" w:hAnsi="微软雅黑" w:eastAsia="微软雅黑" w:cs="微软雅黑"/>
          <w:snapToGrid w:val="0"/>
          <w:color w:val="auto"/>
          <w:kern w:val="0"/>
          <w:position w:val="17"/>
          <w:sz w:val="24"/>
          <w:szCs w:val="24"/>
          <w:highlight w:val="none"/>
          <w:lang w:val="en-US" w:eastAsia="zh-CN" w:bidi="ar-SA"/>
        </w:rPr>
      </w:pPr>
      <w:r>
        <w:rPr>
          <w:rFonts w:hint="eastAsia" w:ascii="微软雅黑" w:hAnsi="微软雅黑" w:eastAsia="微软雅黑" w:cs="微软雅黑"/>
          <w:snapToGrid w:val="0"/>
          <w:color w:val="auto"/>
          <w:kern w:val="0"/>
          <w:position w:val="17"/>
          <w:sz w:val="24"/>
          <w:szCs w:val="24"/>
          <w:highlight w:val="none"/>
          <w:lang w:val="en-US" w:eastAsia="zh-CN" w:bidi="ar-SA"/>
        </w:rPr>
        <w:t>由于管道施工图未明确砌体墙机械打孔（打孔数量：200个，孔径40mm，孔深200mm），施工方向监理上报了相关签证资料。查看合同约定后，按照2013清单计价规范新增砌体墙机械打孔项，综合单价根据四川2020定额确定，其中人工价差调整费率为13.84%，材料费、机械费、管理费和利润均使用定额基价。</w:t>
      </w:r>
    </w:p>
    <w:p w14:paraId="07DF84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default" w:ascii="微软雅黑" w:hAnsi="微软雅黑" w:eastAsia="微软雅黑" w:cs="微软雅黑"/>
          <w:snapToGrid w:val="0"/>
          <w:color w:val="auto"/>
          <w:kern w:val="0"/>
          <w:position w:val="17"/>
          <w:sz w:val="24"/>
          <w:szCs w:val="24"/>
          <w:highlight w:val="none"/>
          <w:lang w:val="en-US" w:eastAsia="zh-CN" w:bidi="ar-SA"/>
        </w:rPr>
      </w:pPr>
      <w:r>
        <w:rPr>
          <w:rFonts w:hint="eastAsia" w:ascii="微软雅黑" w:hAnsi="微软雅黑" w:eastAsia="微软雅黑" w:cs="微软雅黑"/>
          <w:snapToGrid w:val="0"/>
          <w:color w:val="auto"/>
          <w:kern w:val="0"/>
          <w:position w:val="17"/>
          <w:sz w:val="24"/>
          <w:szCs w:val="24"/>
          <w:highlight w:val="none"/>
          <w:lang w:val="en-US" w:eastAsia="zh-CN" w:bidi="ar-SA"/>
        </w:rPr>
        <w:t>针对以上情况请分析：砌体墙机械打孔清单项（编码011615001）综合单价为多少元/个？</w:t>
      </w:r>
    </w:p>
    <w:p w14:paraId="14534C17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left"/>
        <w:textAlignment w:val="baseline"/>
        <w:rPr>
          <w:rFonts w:hint="eastAsia" w:ascii="微软雅黑" w:hAnsi="微软雅黑" w:eastAsia="微软雅黑" w:cs="微软雅黑"/>
          <w:b w:val="0"/>
          <w:bCs w:val="0"/>
          <w:snapToGrid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 w:val="0"/>
          <w:snapToGrid w:val="0"/>
          <w:color w:val="auto"/>
          <w:kern w:val="0"/>
          <w:sz w:val="24"/>
          <w:szCs w:val="24"/>
          <w:highlight w:val="none"/>
          <w:lang w:val="en-US" w:eastAsia="zh-CN" w:bidi="ar"/>
        </w:rPr>
        <w:t>安装工程价款调整</w:t>
      </w:r>
    </w:p>
    <w:p w14:paraId="5ED5B28D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72" w:firstLineChars="200"/>
        <w:textAlignment w:val="baseline"/>
        <w:rPr>
          <w:rFonts w:hint="eastAsia" w:ascii="微软雅黑" w:hAnsi="微软雅黑" w:eastAsia="微软雅黑" w:cs="微软雅黑"/>
          <w:b w:val="0"/>
          <w:bCs w:val="0"/>
          <w:snapToGrid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auto"/>
          <w:spacing w:val="-2"/>
          <w:position w:val="17"/>
          <w:sz w:val="24"/>
          <w:szCs w:val="24"/>
          <w:highlight w:val="none"/>
          <w:lang w:val="en-US" w:eastAsia="zh-CN"/>
        </w:rPr>
        <w:t>假设你单位</w:t>
      </w:r>
      <w:r>
        <w:rPr>
          <w:rFonts w:hint="eastAsia" w:cs="微软雅黑"/>
          <w:color w:val="auto"/>
          <w:spacing w:val="-2"/>
          <w:position w:val="17"/>
          <w:sz w:val="24"/>
          <w:szCs w:val="24"/>
          <w:highlight w:val="none"/>
          <w:lang w:val="en-US" w:eastAsia="zh-CN"/>
        </w:rPr>
        <w:t>编制的第二部分[</w:t>
      </w:r>
      <w:r>
        <w:rPr>
          <w:rFonts w:hint="eastAsia" w:ascii="微软雅黑" w:hAnsi="微软雅黑" w:eastAsia="微软雅黑" w:cs="微软雅黑"/>
          <w:color w:val="auto"/>
          <w:spacing w:val="-2"/>
          <w:position w:val="17"/>
          <w:sz w:val="24"/>
          <w:szCs w:val="24"/>
          <w:highlight w:val="none"/>
          <w:lang w:val="en-US" w:eastAsia="zh-CN"/>
        </w:rPr>
        <w:t>2-1 某综合楼电气工程投标文件</w:t>
      </w:r>
      <w:r>
        <w:rPr>
          <w:rFonts w:hint="eastAsia" w:cs="微软雅黑"/>
          <w:color w:val="auto"/>
          <w:spacing w:val="-2"/>
          <w:position w:val="17"/>
          <w:sz w:val="24"/>
          <w:szCs w:val="24"/>
          <w:highlight w:val="none"/>
          <w:lang w:val="en-US" w:eastAsia="zh-CN"/>
        </w:rPr>
        <w:t>]</w:t>
      </w:r>
      <w:r>
        <w:rPr>
          <w:rFonts w:hint="eastAsia" w:ascii="微软雅黑" w:hAnsi="微软雅黑" w:eastAsia="微软雅黑" w:cs="微软雅黑"/>
          <w:color w:val="auto"/>
          <w:spacing w:val="-2"/>
          <w:position w:val="17"/>
          <w:sz w:val="24"/>
          <w:szCs w:val="24"/>
          <w:highlight w:val="none"/>
          <w:lang w:val="en-US" w:eastAsia="zh-CN"/>
        </w:rPr>
        <w:t>已经中标，目前已进入合同实施阶段，请根据以下资料完成合同价款调整。</w:t>
      </w:r>
    </w:p>
    <w:p w14:paraId="6E1F2343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6" w:firstLineChars="200"/>
        <w:textAlignment w:val="baseline"/>
        <w:rPr>
          <w:rFonts w:hint="eastAsia" w:ascii="微软雅黑" w:hAnsi="微软雅黑" w:eastAsia="微软雅黑" w:cs="微软雅黑"/>
          <w:color w:val="auto"/>
          <w:spacing w:val="-1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pacing w:val="-1"/>
          <w:sz w:val="24"/>
          <w:szCs w:val="24"/>
          <w:highlight w:val="none"/>
        </w:rPr>
        <w:t>根据现场签证单表，完成对安装工程</w:t>
      </w:r>
      <w:r>
        <w:rPr>
          <w:rFonts w:hint="eastAsia" w:ascii="微软雅黑" w:hAnsi="微软雅黑" w:eastAsia="微软雅黑" w:cs="微软雅黑"/>
          <w:color w:val="auto"/>
          <w:spacing w:val="-1"/>
          <w:sz w:val="24"/>
          <w:szCs w:val="24"/>
          <w:highlight w:val="none"/>
          <w:lang w:val="en-US" w:eastAsia="zh-CN"/>
        </w:rPr>
        <w:t>强电</w:t>
      </w:r>
      <w:r>
        <w:rPr>
          <w:rFonts w:hint="eastAsia" w:ascii="微软雅黑" w:hAnsi="微软雅黑" w:eastAsia="微软雅黑" w:cs="微软雅黑"/>
          <w:color w:val="auto"/>
          <w:spacing w:val="-1"/>
          <w:sz w:val="24"/>
          <w:szCs w:val="24"/>
          <w:highlight w:val="none"/>
        </w:rPr>
        <w:t>的价款调整：</w:t>
      </w:r>
    </w:p>
    <w:p w14:paraId="72E6CE39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16" w:firstLineChars="1100"/>
        <w:jc w:val="both"/>
        <w:textAlignment w:val="baseline"/>
        <w:rPr>
          <w:rFonts w:hint="eastAsia" w:ascii="微软雅黑" w:hAnsi="微软雅黑" w:eastAsia="微软雅黑" w:cs="微软雅黑"/>
          <w:color w:val="auto"/>
          <w:spacing w:val="-1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pacing w:val="8"/>
          <w:sz w:val="24"/>
          <w:szCs w:val="24"/>
          <w:highlight w:val="none"/>
        </w:rPr>
        <w:t>安装工程</w:t>
      </w:r>
      <w:r>
        <w:rPr>
          <w:rFonts w:hint="eastAsia" w:ascii="微软雅黑" w:hAnsi="微软雅黑" w:eastAsia="微软雅黑" w:cs="微软雅黑"/>
          <w:color w:val="auto"/>
          <w:spacing w:val="8"/>
          <w:sz w:val="24"/>
          <w:szCs w:val="24"/>
          <w:highlight w:val="none"/>
          <w:lang w:val="en-US" w:eastAsia="zh-CN"/>
        </w:rPr>
        <w:t>强电</w:t>
      </w:r>
      <w:r>
        <w:rPr>
          <w:rFonts w:hint="eastAsia" w:ascii="微软雅黑" w:hAnsi="微软雅黑" w:eastAsia="微软雅黑" w:cs="微软雅黑"/>
          <w:color w:val="auto"/>
          <w:spacing w:val="8"/>
          <w:sz w:val="24"/>
          <w:szCs w:val="24"/>
          <w:highlight w:val="none"/>
        </w:rPr>
        <w:t>工程现场签证单</w:t>
      </w:r>
    </w:p>
    <w:tbl>
      <w:tblPr>
        <w:tblStyle w:val="7"/>
        <w:tblW w:w="51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9"/>
        <w:gridCol w:w="7641"/>
      </w:tblGrid>
      <w:tr w14:paraId="54760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41" w:type="pct"/>
            <w:vAlign w:val="center"/>
          </w:tcPr>
          <w:p w14:paraId="123EB186">
            <w:pPr>
              <w:pStyle w:val="12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微软雅黑" w:hAnsi="微软雅黑" w:eastAsia="微软雅黑" w:cs="微软雅黑"/>
                <w:color w:val="auto"/>
                <w:spacing w:val="-1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pacing w:val="6"/>
                <w:sz w:val="24"/>
                <w:szCs w:val="24"/>
                <w:highlight w:val="none"/>
              </w:rPr>
              <w:t>工程名称</w:t>
            </w:r>
          </w:p>
        </w:tc>
        <w:tc>
          <w:tcPr>
            <w:tcW w:w="4258" w:type="pct"/>
            <w:vAlign w:val="center"/>
          </w:tcPr>
          <w:p w14:paraId="0B831DFD">
            <w:pPr>
              <w:pStyle w:val="12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微软雅黑" w:hAnsi="微软雅黑" w:eastAsia="微软雅黑" w:cs="微软雅黑"/>
                <w:color w:val="auto"/>
                <w:spacing w:val="-1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pacing w:val="6"/>
                <w:sz w:val="24"/>
                <w:szCs w:val="24"/>
                <w:highlight w:val="none"/>
              </w:rPr>
              <w:t>某</w:t>
            </w:r>
            <w:r>
              <w:rPr>
                <w:rFonts w:hint="eastAsia" w:ascii="微软雅黑" w:hAnsi="微软雅黑" w:eastAsia="微软雅黑" w:cs="微软雅黑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  <w:t>综合</w:t>
            </w:r>
            <w:r>
              <w:rPr>
                <w:rFonts w:hint="eastAsia" w:ascii="微软雅黑" w:hAnsi="微软雅黑" w:eastAsia="微软雅黑" w:cs="微软雅黑"/>
                <w:color w:val="auto"/>
                <w:spacing w:val="6"/>
                <w:sz w:val="24"/>
                <w:szCs w:val="24"/>
                <w:highlight w:val="none"/>
              </w:rPr>
              <w:t>楼</w:t>
            </w:r>
          </w:p>
        </w:tc>
      </w:tr>
      <w:tr w14:paraId="78A49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41" w:type="pct"/>
            <w:vAlign w:val="center"/>
          </w:tcPr>
          <w:p w14:paraId="63C6F899">
            <w:pPr>
              <w:pStyle w:val="12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微软雅黑" w:hAnsi="微软雅黑" w:eastAsia="微软雅黑" w:cs="微软雅黑"/>
                <w:color w:val="auto"/>
                <w:spacing w:val="-1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pacing w:val="6"/>
                <w:sz w:val="24"/>
                <w:szCs w:val="24"/>
                <w:highlight w:val="none"/>
              </w:rPr>
              <w:t>分部分项</w:t>
            </w:r>
          </w:p>
        </w:tc>
        <w:tc>
          <w:tcPr>
            <w:tcW w:w="4258" w:type="pct"/>
            <w:vAlign w:val="center"/>
          </w:tcPr>
          <w:p w14:paraId="76D7B2E1">
            <w:pPr>
              <w:pStyle w:val="12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微软雅黑" w:hAnsi="微软雅黑" w:eastAsia="微软雅黑" w:cs="微软雅黑"/>
                <w:color w:val="auto"/>
                <w:spacing w:val="-1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pacing w:val="6"/>
                <w:sz w:val="24"/>
                <w:szCs w:val="24"/>
                <w:highlight w:val="none"/>
              </w:rPr>
              <w:t>安装工程-</w:t>
            </w:r>
            <w:r>
              <w:rPr>
                <w:rFonts w:hint="eastAsia" w:ascii="微软雅黑" w:hAnsi="微软雅黑" w:eastAsia="微软雅黑" w:cs="微软雅黑"/>
                <w:color w:val="auto"/>
                <w:spacing w:val="6"/>
                <w:sz w:val="24"/>
                <w:szCs w:val="24"/>
                <w:highlight w:val="none"/>
                <w:lang w:val="en-US" w:eastAsia="zh-CN"/>
              </w:rPr>
              <w:t>强电签证</w:t>
            </w:r>
          </w:p>
        </w:tc>
      </w:tr>
      <w:tr w14:paraId="3FD83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41" w:type="pct"/>
            <w:vAlign w:val="center"/>
          </w:tcPr>
          <w:p w14:paraId="77A19D10">
            <w:pPr>
              <w:pStyle w:val="12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微软雅黑" w:hAnsi="微软雅黑" w:eastAsia="微软雅黑" w:cs="微软雅黑"/>
                <w:color w:val="auto"/>
                <w:spacing w:val="-1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pacing w:val="8"/>
                <w:sz w:val="24"/>
                <w:szCs w:val="24"/>
                <w:highlight w:val="none"/>
              </w:rPr>
              <w:t>工程签证原因及增减数</w:t>
            </w:r>
          </w:p>
        </w:tc>
        <w:tc>
          <w:tcPr>
            <w:tcW w:w="4258" w:type="pct"/>
            <w:vAlign w:val="center"/>
          </w:tcPr>
          <w:p w14:paraId="6C603BA3">
            <w:pPr>
              <w:pStyle w:val="12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firstLine="516" w:firstLineChars="200"/>
              <w:jc w:val="left"/>
              <w:textAlignment w:val="baseline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pacing w:val="9"/>
                <w:sz w:val="24"/>
                <w:szCs w:val="24"/>
                <w:highlight w:val="none"/>
              </w:rPr>
              <w:t>根据施工现场实际情况，经业主同意，兹提出工程量增加等工程变更建议：</w:t>
            </w:r>
          </w:p>
          <w:p w14:paraId="4A7DFA4B"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500" w:firstLineChars="200"/>
              <w:rPr>
                <w:rFonts w:hint="eastAsia" w:ascii="微软雅黑" w:hAnsi="微软雅黑" w:eastAsia="微软雅黑" w:cs="微软雅黑"/>
                <w:color w:val="auto"/>
                <w:spacing w:val="-1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pacing w:val="5"/>
                <w:sz w:val="24"/>
                <w:szCs w:val="24"/>
                <w:highlight w:val="none"/>
              </w:rPr>
              <w:t>原</w:t>
            </w:r>
            <w:r>
              <w:rPr>
                <w:rFonts w:hint="eastAsia" w:ascii="微软雅黑" w:hAnsi="微软雅黑" w:eastAsia="微软雅黑" w:cs="微软雅黑"/>
                <w:snapToGrid w:val="0"/>
                <w:color w:val="auto"/>
                <w:spacing w:val="9"/>
                <w:kern w:val="0"/>
                <w:sz w:val="24"/>
                <w:szCs w:val="24"/>
                <w:highlight w:val="none"/>
                <w:lang w:val="en-US" w:eastAsia="zh-CN" w:bidi="ar-SA"/>
              </w:rPr>
              <w:t xml:space="preserve">清单 </w:t>
            </w:r>
            <w:r>
              <w:t>030404017026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napToGrid w:val="0"/>
                <w:color w:val="auto"/>
                <w:spacing w:val="9"/>
                <w:kern w:val="0"/>
                <w:sz w:val="24"/>
                <w:szCs w:val="24"/>
                <w:highlight w:val="none"/>
                <w:lang w:val="en-US" w:eastAsia="zh-CN" w:bidi="ar-SA"/>
              </w:rPr>
              <w:t>ALZ1</w:t>
            </w:r>
            <w:r>
              <w:rPr>
                <w:rFonts w:hint="eastAsia" w:ascii="微软雅黑" w:hAnsi="微软雅黑" w:eastAsia="微软雅黑" w:cs="微软雅黑"/>
                <w:snapToGrid w:val="0"/>
                <w:color w:val="auto"/>
                <w:spacing w:val="9"/>
                <w:kern w:val="0"/>
                <w:sz w:val="24"/>
                <w:szCs w:val="24"/>
                <w:highlight w:val="none"/>
                <w:lang w:val="en-US" w:eastAsia="en-US" w:bidi="ar-SA"/>
              </w:rPr>
              <w:t xml:space="preserve"> 成套配电箱 </w:t>
            </w:r>
            <w:r>
              <w:rPr>
                <w:rFonts w:hint="eastAsia" w:ascii="微软雅黑" w:hAnsi="微软雅黑" w:eastAsia="微软雅黑" w:cs="微软雅黑"/>
                <w:snapToGrid w:val="0"/>
                <w:color w:val="auto"/>
                <w:spacing w:val="9"/>
                <w:kern w:val="0"/>
                <w:sz w:val="24"/>
                <w:szCs w:val="24"/>
                <w:highlight w:val="none"/>
                <w:lang w:val="en-US" w:eastAsia="zh-CN" w:bidi="ar-SA"/>
              </w:rPr>
              <w:t>6</w:t>
            </w:r>
            <w:r>
              <w:rPr>
                <w:rFonts w:hint="eastAsia" w:ascii="微软雅黑" w:hAnsi="微软雅黑" w:eastAsia="微软雅黑" w:cs="微软雅黑"/>
                <w:snapToGrid w:val="0"/>
                <w:color w:val="auto"/>
                <w:spacing w:val="9"/>
                <w:kern w:val="0"/>
                <w:sz w:val="24"/>
                <w:szCs w:val="24"/>
                <w:highlight w:val="none"/>
                <w:lang w:val="en-US" w:eastAsia="en-US" w:bidi="ar-SA"/>
              </w:rPr>
              <w:t>00mm（W） ×</w:t>
            </w:r>
            <w:r>
              <w:rPr>
                <w:rFonts w:hint="eastAsia" w:ascii="微软雅黑" w:hAnsi="微软雅黑" w:eastAsia="微软雅黑" w:cs="微软雅黑"/>
                <w:snapToGrid w:val="0"/>
                <w:color w:val="auto"/>
                <w:spacing w:val="9"/>
                <w:kern w:val="0"/>
                <w:sz w:val="24"/>
                <w:szCs w:val="24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微软雅黑" w:hAnsi="微软雅黑" w:eastAsia="微软雅黑" w:cs="微软雅黑"/>
                <w:snapToGrid w:val="0"/>
                <w:color w:val="auto"/>
                <w:spacing w:val="9"/>
                <w:kern w:val="0"/>
                <w:sz w:val="24"/>
                <w:szCs w:val="24"/>
                <w:highlight w:val="none"/>
                <w:lang w:val="en-US" w:eastAsia="en-US" w:bidi="ar-SA"/>
              </w:rPr>
              <w:t>00mm（H） ×2</w:t>
            </w:r>
            <w:r>
              <w:rPr>
                <w:rFonts w:hint="eastAsia" w:ascii="微软雅黑" w:hAnsi="微软雅黑" w:eastAsia="微软雅黑" w:cs="微软雅黑"/>
                <w:snapToGrid w:val="0"/>
                <w:color w:val="auto"/>
                <w:spacing w:val="9"/>
                <w:kern w:val="0"/>
                <w:sz w:val="24"/>
                <w:szCs w:val="24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微软雅黑" w:hAnsi="微软雅黑" w:eastAsia="微软雅黑" w:cs="微软雅黑"/>
                <w:snapToGrid w:val="0"/>
                <w:color w:val="auto"/>
                <w:spacing w:val="9"/>
                <w:kern w:val="0"/>
                <w:sz w:val="24"/>
                <w:szCs w:val="24"/>
                <w:highlight w:val="none"/>
                <w:lang w:val="en-US" w:eastAsia="en-US" w:bidi="ar-SA"/>
              </w:rPr>
              <w:t>0mm（D)嵌墙暗装改为落地安装</w:t>
            </w:r>
            <w:r>
              <w:rPr>
                <w:rFonts w:hint="eastAsia" w:ascii="微软雅黑" w:hAnsi="微软雅黑" w:eastAsia="微软雅黑" w:cs="微软雅黑"/>
                <w:color w:val="auto"/>
                <w:spacing w:val="4"/>
                <w:sz w:val="24"/>
                <w:szCs w:val="24"/>
                <w:highlight w:val="none"/>
              </w:rPr>
              <w:t>。</w:t>
            </w:r>
            <w:r>
              <w:rPr>
                <w:rFonts w:hint="eastAsia" w:ascii="微软雅黑" w:hAnsi="微软雅黑" w:eastAsia="微软雅黑" w:cs="微软雅黑"/>
                <w:snapToGrid w:val="0"/>
                <w:color w:val="auto"/>
                <w:spacing w:val="9"/>
                <w:kern w:val="0"/>
                <w:sz w:val="24"/>
                <w:szCs w:val="24"/>
                <w:highlight w:val="none"/>
                <w:lang w:val="en-US" w:eastAsia="zh-CN" w:bidi="ar-SA"/>
              </w:rPr>
              <w:t>同时增加1.7m</w:t>
            </w:r>
            <w:r>
              <w:rPr>
                <w:rFonts w:hint="eastAsia" w:ascii="微软雅黑" w:hAnsi="微软雅黑" w:eastAsia="微软雅黑" w:cs="微软雅黑"/>
                <w:snapToGrid w:val="0"/>
                <w:color w:val="auto"/>
                <w:spacing w:val="9"/>
                <w:kern w:val="0"/>
                <w:sz w:val="24"/>
                <w:szCs w:val="24"/>
                <w:highlight w:val="none"/>
                <w:lang w:val="en-US" w:eastAsia="en-US" w:bidi="ar-SA"/>
              </w:rPr>
              <w:t>10#槽钢</w:t>
            </w:r>
            <w:r>
              <w:rPr>
                <w:rFonts w:hint="eastAsia" w:ascii="微软雅黑" w:hAnsi="微软雅黑" w:eastAsia="微软雅黑" w:cs="微软雅黑"/>
                <w:snapToGrid w:val="0"/>
                <w:color w:val="auto"/>
                <w:spacing w:val="9"/>
                <w:kern w:val="0"/>
                <w:sz w:val="24"/>
                <w:szCs w:val="24"/>
                <w:highlight w:val="none"/>
                <w:lang w:val="en-US" w:eastAsia="zh-CN" w:bidi="ar-SA"/>
              </w:rPr>
              <w:t>用于配电箱基座安装。</w:t>
            </w:r>
          </w:p>
        </w:tc>
      </w:tr>
    </w:tbl>
    <w:p w14:paraId="760DDBF0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2" w:firstLineChars="200"/>
        <w:textAlignment w:val="baseline"/>
        <w:rPr>
          <w:rFonts w:hint="default" w:ascii="微软雅黑" w:hAnsi="微软雅黑" w:eastAsia="微软雅黑" w:cs="微软雅黑"/>
          <w:color w:val="auto"/>
          <w:spacing w:val="-2"/>
          <w:position w:val="17"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snapToGrid w:val="0"/>
          <w:color w:val="auto"/>
          <w:spacing w:val="-2"/>
          <w:kern w:val="0"/>
          <w:position w:val="17"/>
          <w:sz w:val="24"/>
          <w:szCs w:val="24"/>
          <w:highlight w:val="none"/>
          <w:lang w:val="en-US" w:eastAsia="zh-CN" w:bidi="ar-SA"/>
        </w:rPr>
        <w:t>综合单价根据四川</w:t>
      </w:r>
      <w:r>
        <w:rPr>
          <w:rFonts w:hint="default" w:ascii="微软雅黑" w:hAnsi="微软雅黑" w:eastAsia="微软雅黑" w:cs="微软雅黑"/>
          <w:snapToGrid w:val="0"/>
          <w:color w:val="auto"/>
          <w:spacing w:val="-2"/>
          <w:kern w:val="0"/>
          <w:position w:val="17"/>
          <w:sz w:val="24"/>
          <w:szCs w:val="24"/>
          <w:highlight w:val="none"/>
          <w:lang w:val="en-US" w:eastAsia="zh-CN" w:bidi="ar-SA"/>
        </w:rPr>
        <w:t xml:space="preserve"> 2020 定额确定，其中人工价差调整费率为 1</w:t>
      </w:r>
      <w:r>
        <w:rPr>
          <w:rFonts w:hint="eastAsia" w:ascii="微软雅黑" w:hAnsi="微软雅黑" w:eastAsia="微软雅黑" w:cs="微软雅黑"/>
          <w:snapToGrid w:val="0"/>
          <w:color w:val="auto"/>
          <w:spacing w:val="-2"/>
          <w:kern w:val="0"/>
          <w:position w:val="17"/>
          <w:sz w:val="24"/>
          <w:szCs w:val="24"/>
          <w:highlight w:val="none"/>
          <w:lang w:val="en-US" w:eastAsia="zh-CN" w:bidi="ar-SA"/>
        </w:rPr>
        <w:t>6.09</w:t>
      </w:r>
      <w:r>
        <w:rPr>
          <w:rFonts w:hint="default" w:ascii="微软雅黑" w:hAnsi="微软雅黑" w:eastAsia="微软雅黑" w:cs="微软雅黑"/>
          <w:snapToGrid w:val="0"/>
          <w:color w:val="auto"/>
          <w:spacing w:val="-2"/>
          <w:kern w:val="0"/>
          <w:position w:val="17"/>
          <w:sz w:val="24"/>
          <w:szCs w:val="24"/>
          <w:highlight w:val="none"/>
          <w:lang w:val="en-US" w:eastAsia="zh-CN" w:bidi="ar-SA"/>
        </w:rPr>
        <w:t>%</w:t>
      </w:r>
      <w:r>
        <w:rPr>
          <w:rFonts w:hint="eastAsia" w:ascii="微软雅黑" w:hAnsi="微软雅黑" w:eastAsia="微软雅黑" w:cs="微软雅黑"/>
          <w:snapToGrid w:val="0"/>
          <w:color w:val="auto"/>
          <w:spacing w:val="-2"/>
          <w:kern w:val="0"/>
          <w:position w:val="17"/>
          <w:sz w:val="24"/>
          <w:szCs w:val="24"/>
          <w:highlight w:val="none"/>
          <w:lang w:val="en-US" w:eastAsia="zh-CN" w:bidi="ar-SA"/>
        </w:rPr>
        <w:t>。</w:t>
      </w:r>
      <w:r>
        <w:rPr>
          <w:rFonts w:hint="eastAsia" w:ascii="微软雅黑" w:hAnsi="微软雅黑" w:eastAsia="微软雅黑" w:cs="微软雅黑"/>
          <w:color w:val="auto"/>
          <w:spacing w:val="-2"/>
          <w:position w:val="17"/>
          <w:sz w:val="24"/>
          <w:szCs w:val="24"/>
          <w:highlight w:val="none"/>
          <w:lang w:val="en-US" w:eastAsia="zh-CN"/>
        </w:rPr>
        <w:t>（仅保留题目所涉及相关清单项）</w:t>
      </w:r>
    </w:p>
    <w:p w14:paraId="45B540CB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6" w:firstLineChars="2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pacing w:val="-1"/>
          <w:sz w:val="24"/>
          <w:szCs w:val="24"/>
          <w:highlight w:val="none"/>
          <w:lang w:val="en-US" w:eastAsia="zh-CN"/>
        </w:rPr>
        <w:t>3.成果文件提交</w:t>
      </w:r>
    </w:p>
    <w:p w14:paraId="4500C67B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  <w:t>将完成的所有成果保存在“赛项模块二 价款调整-第X组（抽签组号）”文件夹内，文件夹包含的文件如下：</w:t>
      </w:r>
    </w:p>
    <w:p w14:paraId="0D762424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position w:val="17"/>
          <w:sz w:val="24"/>
          <w:szCs w:val="24"/>
          <w:highlight w:val="none"/>
          <w:lang w:val="en-US" w:eastAsia="zh-CN"/>
        </w:rPr>
      </w:pPr>
    </w:p>
    <w:p w14:paraId="0D8B0217">
      <w:pPr>
        <w:pStyle w:val="1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textAlignment w:val="baseline"/>
        <w:rPr>
          <w:rFonts w:hint="eastAsia" w:ascii="微软雅黑" w:hAnsi="微软雅黑" w:eastAsia="微软雅黑" w:cs="微软雅黑"/>
          <w:snapToGrid w:val="0"/>
          <w:color w:val="auto"/>
          <w:kern w:val="0"/>
          <w:position w:val="17"/>
          <w:sz w:val="24"/>
          <w:szCs w:val="24"/>
          <w:highlight w:val="none"/>
          <w:lang w:val="en-US" w:eastAsia="zh-CN" w:bidi="ar-SA"/>
        </w:rPr>
      </w:pPr>
      <w:r>
        <w:rPr>
          <w:rFonts w:hint="eastAsia" w:ascii="微软雅黑" w:hAnsi="微软雅黑" w:eastAsia="微软雅黑" w:cs="微软雅黑"/>
          <w:snapToGrid w:val="0"/>
          <w:color w:val="auto"/>
          <w:kern w:val="0"/>
          <w:position w:val="17"/>
          <w:sz w:val="24"/>
          <w:szCs w:val="24"/>
          <w:highlight w:val="none"/>
          <w:lang w:val="en-US" w:eastAsia="zh-CN" w:bidi="ar-SA"/>
        </w:rPr>
        <w:t>3-1 框架柱、砌体墙机械打孔分部分项工程清单与计价表（计价文件格式）</w:t>
      </w:r>
    </w:p>
    <w:p w14:paraId="6EDAA89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72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</w:rPr>
        <w:t>-</w:t>
      </w:r>
      <w:r>
        <w:rPr>
          <w:rFonts w:hint="eastAsia" w:cs="微软雅黑"/>
          <w:color w:val="auto"/>
          <w:spacing w:val="-2"/>
          <w:sz w:val="24"/>
          <w:szCs w:val="24"/>
          <w:highlight w:val="none"/>
          <w:lang w:val="en-US" w:eastAsia="zh-CN"/>
        </w:rPr>
        <w:t xml:space="preserve">2 </w:t>
      </w:r>
      <w:r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  <w:lang w:val="en-US" w:eastAsia="zh-CN"/>
        </w:rPr>
        <w:t>强电</w:t>
      </w:r>
      <w:r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</w:rPr>
        <w:t>现场签证分部分项工程清单与计价表</w:t>
      </w:r>
      <w:r>
        <w:rPr>
          <w:rFonts w:hint="eastAsia" w:ascii="微软雅黑" w:hAnsi="微软雅黑" w:eastAsia="微软雅黑" w:cs="微软雅黑"/>
          <w:color w:val="auto"/>
          <w:spacing w:val="-88"/>
          <w:sz w:val="24"/>
          <w:szCs w:val="24"/>
          <w:highlight w:val="none"/>
        </w:rPr>
        <w:t xml:space="preserve"> </w:t>
      </w:r>
      <w:bookmarkEnd w:id="0"/>
      <w:r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</w:rPr>
        <w:t>（</w:t>
      </w:r>
      <w:r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  <w:lang w:val="en-US" w:eastAsia="zh-CN"/>
        </w:rPr>
        <w:t>计价文件格式</w:t>
      </w:r>
      <w:r>
        <w:rPr>
          <w:rFonts w:hint="eastAsia" w:ascii="微软雅黑" w:hAnsi="微软雅黑" w:eastAsia="微软雅黑" w:cs="微软雅黑"/>
          <w:color w:val="auto"/>
          <w:spacing w:val="-2"/>
          <w:sz w:val="24"/>
          <w:szCs w:val="24"/>
          <w:highlight w:val="none"/>
        </w:rPr>
        <w:t>）</w:t>
      </w:r>
    </w:p>
    <w:sectPr>
      <w:pgSz w:w="11906" w:h="16839"/>
      <w:pgMar w:top="1429" w:right="1559" w:bottom="1417" w:left="1786" w:header="0" w:footer="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6A1038"/>
    <w:multiLevelType w:val="singleLevel"/>
    <w:tmpl w:val="876A103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5B22A45"/>
    <w:multiLevelType w:val="singleLevel"/>
    <w:tmpl w:val="A5B22A4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120B43E"/>
    <w:multiLevelType w:val="singleLevel"/>
    <w:tmpl w:val="E120B43E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3">
    <w:nsid w:val="0076CC25"/>
    <w:multiLevelType w:val="singleLevel"/>
    <w:tmpl w:val="0076CC25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2M4ZTI1MDEzZjFjNjJlYzI2OGU0YWViM2M0MWM5MzMifQ=="/>
  </w:docVars>
  <w:rsids>
    <w:rsidRoot w:val="00000000"/>
    <w:rsid w:val="00410355"/>
    <w:rsid w:val="01326485"/>
    <w:rsid w:val="017930EA"/>
    <w:rsid w:val="01BE7323"/>
    <w:rsid w:val="01E44FDB"/>
    <w:rsid w:val="02272FC2"/>
    <w:rsid w:val="02C866AB"/>
    <w:rsid w:val="032D650E"/>
    <w:rsid w:val="039447DF"/>
    <w:rsid w:val="04310280"/>
    <w:rsid w:val="04340ADE"/>
    <w:rsid w:val="048605CC"/>
    <w:rsid w:val="04A22F2C"/>
    <w:rsid w:val="04BA2023"/>
    <w:rsid w:val="04E81A9D"/>
    <w:rsid w:val="05377B18"/>
    <w:rsid w:val="055204AE"/>
    <w:rsid w:val="060F639F"/>
    <w:rsid w:val="0627193B"/>
    <w:rsid w:val="0648365F"/>
    <w:rsid w:val="068E5516"/>
    <w:rsid w:val="06F85085"/>
    <w:rsid w:val="073F2CB4"/>
    <w:rsid w:val="07427DD5"/>
    <w:rsid w:val="07771BA3"/>
    <w:rsid w:val="0874698D"/>
    <w:rsid w:val="087D3A94"/>
    <w:rsid w:val="08CF6BA1"/>
    <w:rsid w:val="09E244F6"/>
    <w:rsid w:val="0B494101"/>
    <w:rsid w:val="0B92035F"/>
    <w:rsid w:val="0C1B5A9E"/>
    <w:rsid w:val="0D464D9C"/>
    <w:rsid w:val="0DD90C79"/>
    <w:rsid w:val="0ECA37AB"/>
    <w:rsid w:val="0ECA7307"/>
    <w:rsid w:val="0EDB1514"/>
    <w:rsid w:val="0EE26D46"/>
    <w:rsid w:val="10D13141"/>
    <w:rsid w:val="10E513FB"/>
    <w:rsid w:val="1122167C"/>
    <w:rsid w:val="11496C09"/>
    <w:rsid w:val="114B700C"/>
    <w:rsid w:val="11563097"/>
    <w:rsid w:val="11E76422"/>
    <w:rsid w:val="11E9219A"/>
    <w:rsid w:val="1222745A"/>
    <w:rsid w:val="12DE15D3"/>
    <w:rsid w:val="13076D7C"/>
    <w:rsid w:val="1367781A"/>
    <w:rsid w:val="13804C02"/>
    <w:rsid w:val="13EE3521"/>
    <w:rsid w:val="140137CB"/>
    <w:rsid w:val="14357918"/>
    <w:rsid w:val="151C63E2"/>
    <w:rsid w:val="154D2A40"/>
    <w:rsid w:val="15632263"/>
    <w:rsid w:val="16C83453"/>
    <w:rsid w:val="16F70EB5"/>
    <w:rsid w:val="1726179A"/>
    <w:rsid w:val="17575DF8"/>
    <w:rsid w:val="19157D18"/>
    <w:rsid w:val="19235F91"/>
    <w:rsid w:val="197E141A"/>
    <w:rsid w:val="19882298"/>
    <w:rsid w:val="19977715"/>
    <w:rsid w:val="19B83F83"/>
    <w:rsid w:val="1A4A39F2"/>
    <w:rsid w:val="1A534654"/>
    <w:rsid w:val="1B740D26"/>
    <w:rsid w:val="1BC03F6C"/>
    <w:rsid w:val="1BDB0DA5"/>
    <w:rsid w:val="1CA27B15"/>
    <w:rsid w:val="1D801480"/>
    <w:rsid w:val="1DDB508D"/>
    <w:rsid w:val="1F7A6B27"/>
    <w:rsid w:val="1FD53D5E"/>
    <w:rsid w:val="20384A18"/>
    <w:rsid w:val="203B1E13"/>
    <w:rsid w:val="2110329F"/>
    <w:rsid w:val="21702D0C"/>
    <w:rsid w:val="22340B9C"/>
    <w:rsid w:val="2288155B"/>
    <w:rsid w:val="228D7161"/>
    <w:rsid w:val="22CA56D0"/>
    <w:rsid w:val="22FD7853"/>
    <w:rsid w:val="23005679"/>
    <w:rsid w:val="23104268"/>
    <w:rsid w:val="23757D31"/>
    <w:rsid w:val="23B7280F"/>
    <w:rsid w:val="24974442"/>
    <w:rsid w:val="24A04BE0"/>
    <w:rsid w:val="250D508D"/>
    <w:rsid w:val="251327A8"/>
    <w:rsid w:val="253D38FD"/>
    <w:rsid w:val="25E76599"/>
    <w:rsid w:val="260D5FFF"/>
    <w:rsid w:val="26263565"/>
    <w:rsid w:val="26F63EAF"/>
    <w:rsid w:val="277327DA"/>
    <w:rsid w:val="28074CD0"/>
    <w:rsid w:val="2852198C"/>
    <w:rsid w:val="28C3716F"/>
    <w:rsid w:val="295B3526"/>
    <w:rsid w:val="298A3E0B"/>
    <w:rsid w:val="29BA46F0"/>
    <w:rsid w:val="2A1C7474"/>
    <w:rsid w:val="2A8E16D9"/>
    <w:rsid w:val="2AD4533E"/>
    <w:rsid w:val="2B060AD0"/>
    <w:rsid w:val="2BCC070B"/>
    <w:rsid w:val="2C752B50"/>
    <w:rsid w:val="2D3C366E"/>
    <w:rsid w:val="2D485B6F"/>
    <w:rsid w:val="2D572256"/>
    <w:rsid w:val="2F0B0A92"/>
    <w:rsid w:val="2F120B2A"/>
    <w:rsid w:val="2F435AAF"/>
    <w:rsid w:val="2F8A06C1"/>
    <w:rsid w:val="2FB835DA"/>
    <w:rsid w:val="30EB33E1"/>
    <w:rsid w:val="31DE6AA2"/>
    <w:rsid w:val="324A05DB"/>
    <w:rsid w:val="326E6078"/>
    <w:rsid w:val="32780CA4"/>
    <w:rsid w:val="32825166"/>
    <w:rsid w:val="32A55811"/>
    <w:rsid w:val="33792F26"/>
    <w:rsid w:val="342804A8"/>
    <w:rsid w:val="34767465"/>
    <w:rsid w:val="35B2242B"/>
    <w:rsid w:val="35FC7E3E"/>
    <w:rsid w:val="367B6FB5"/>
    <w:rsid w:val="3691327B"/>
    <w:rsid w:val="37106702"/>
    <w:rsid w:val="37532D15"/>
    <w:rsid w:val="37CB7526"/>
    <w:rsid w:val="38CF183A"/>
    <w:rsid w:val="39447B32"/>
    <w:rsid w:val="396D1367"/>
    <w:rsid w:val="39DD25FD"/>
    <w:rsid w:val="39EB6200"/>
    <w:rsid w:val="39F01A68"/>
    <w:rsid w:val="3A0A7CB4"/>
    <w:rsid w:val="3A4A561C"/>
    <w:rsid w:val="3AFC596C"/>
    <w:rsid w:val="3B082DE1"/>
    <w:rsid w:val="3B44206B"/>
    <w:rsid w:val="3B911029"/>
    <w:rsid w:val="3C094D76"/>
    <w:rsid w:val="3C1322D1"/>
    <w:rsid w:val="3E4B5E98"/>
    <w:rsid w:val="3E554590"/>
    <w:rsid w:val="3E921340"/>
    <w:rsid w:val="3EBF1A09"/>
    <w:rsid w:val="3F2521B4"/>
    <w:rsid w:val="3FB04C0B"/>
    <w:rsid w:val="3FCC6AD3"/>
    <w:rsid w:val="409969B6"/>
    <w:rsid w:val="40BA692C"/>
    <w:rsid w:val="41374D7D"/>
    <w:rsid w:val="41D34149"/>
    <w:rsid w:val="41DA7286"/>
    <w:rsid w:val="421556B7"/>
    <w:rsid w:val="432E715D"/>
    <w:rsid w:val="440E0A16"/>
    <w:rsid w:val="44501A81"/>
    <w:rsid w:val="447E1A89"/>
    <w:rsid w:val="44D53D34"/>
    <w:rsid w:val="451569E0"/>
    <w:rsid w:val="45366DBD"/>
    <w:rsid w:val="459B31D0"/>
    <w:rsid w:val="460A7472"/>
    <w:rsid w:val="4674757D"/>
    <w:rsid w:val="4678706D"/>
    <w:rsid w:val="46C95B1B"/>
    <w:rsid w:val="47863C40"/>
    <w:rsid w:val="48084421"/>
    <w:rsid w:val="480C3F11"/>
    <w:rsid w:val="482374AD"/>
    <w:rsid w:val="48BD345D"/>
    <w:rsid w:val="48CA742C"/>
    <w:rsid w:val="48CC18F2"/>
    <w:rsid w:val="49276B29"/>
    <w:rsid w:val="4958390F"/>
    <w:rsid w:val="495E69EE"/>
    <w:rsid w:val="49A5461D"/>
    <w:rsid w:val="4AB56AE2"/>
    <w:rsid w:val="4ABF34BD"/>
    <w:rsid w:val="4BB6037C"/>
    <w:rsid w:val="4BEA27BB"/>
    <w:rsid w:val="4CAC5CC3"/>
    <w:rsid w:val="4CDF1BF4"/>
    <w:rsid w:val="4D3B0DF4"/>
    <w:rsid w:val="4D5A127B"/>
    <w:rsid w:val="4D9549A9"/>
    <w:rsid w:val="4DA51A97"/>
    <w:rsid w:val="4DC01D48"/>
    <w:rsid w:val="4DFE60AA"/>
    <w:rsid w:val="4E8958E1"/>
    <w:rsid w:val="4E8B117C"/>
    <w:rsid w:val="4EC8490A"/>
    <w:rsid w:val="4F5D5052"/>
    <w:rsid w:val="50357D7D"/>
    <w:rsid w:val="508807F5"/>
    <w:rsid w:val="50A64873"/>
    <w:rsid w:val="50D13F4A"/>
    <w:rsid w:val="51414279"/>
    <w:rsid w:val="51A72EFC"/>
    <w:rsid w:val="51BE0B77"/>
    <w:rsid w:val="52522047"/>
    <w:rsid w:val="525F5585"/>
    <w:rsid w:val="527252B8"/>
    <w:rsid w:val="52F201A7"/>
    <w:rsid w:val="530F0D59"/>
    <w:rsid w:val="53450CA7"/>
    <w:rsid w:val="53E421E6"/>
    <w:rsid w:val="53EC109A"/>
    <w:rsid w:val="53FF0DCE"/>
    <w:rsid w:val="54173C5C"/>
    <w:rsid w:val="545F186C"/>
    <w:rsid w:val="55FE1AC5"/>
    <w:rsid w:val="56004989"/>
    <w:rsid w:val="56D55F97"/>
    <w:rsid w:val="57E26A3C"/>
    <w:rsid w:val="581B12A7"/>
    <w:rsid w:val="58417344"/>
    <w:rsid w:val="58531322"/>
    <w:rsid w:val="58562F86"/>
    <w:rsid w:val="58E05E04"/>
    <w:rsid w:val="58EC3F52"/>
    <w:rsid w:val="58F5279F"/>
    <w:rsid w:val="594A2AEB"/>
    <w:rsid w:val="59734D3C"/>
    <w:rsid w:val="5A167085"/>
    <w:rsid w:val="5ABF3065"/>
    <w:rsid w:val="5AFA766A"/>
    <w:rsid w:val="5BA109BC"/>
    <w:rsid w:val="5C163158"/>
    <w:rsid w:val="5C252CA9"/>
    <w:rsid w:val="5C531CB7"/>
    <w:rsid w:val="5CBD02F6"/>
    <w:rsid w:val="5CEB1EEF"/>
    <w:rsid w:val="5D2C47C9"/>
    <w:rsid w:val="5D2D60A2"/>
    <w:rsid w:val="5DBC7D30"/>
    <w:rsid w:val="5E5F0DE7"/>
    <w:rsid w:val="5EBF7B55"/>
    <w:rsid w:val="5F1B6FF3"/>
    <w:rsid w:val="5F685A79"/>
    <w:rsid w:val="60864CD2"/>
    <w:rsid w:val="60F65306"/>
    <w:rsid w:val="612C2AD6"/>
    <w:rsid w:val="616D55C9"/>
    <w:rsid w:val="6178274A"/>
    <w:rsid w:val="61860438"/>
    <w:rsid w:val="62157A0E"/>
    <w:rsid w:val="632C3261"/>
    <w:rsid w:val="636B1FDC"/>
    <w:rsid w:val="6377272F"/>
    <w:rsid w:val="63C45248"/>
    <w:rsid w:val="63D57455"/>
    <w:rsid w:val="64CF659A"/>
    <w:rsid w:val="65423A97"/>
    <w:rsid w:val="658E5B0E"/>
    <w:rsid w:val="65C17780"/>
    <w:rsid w:val="65DF280D"/>
    <w:rsid w:val="65E65A70"/>
    <w:rsid w:val="664D227D"/>
    <w:rsid w:val="67273838"/>
    <w:rsid w:val="67995F3C"/>
    <w:rsid w:val="6813679E"/>
    <w:rsid w:val="68B41D2F"/>
    <w:rsid w:val="68BC5088"/>
    <w:rsid w:val="69903046"/>
    <w:rsid w:val="6A1231B1"/>
    <w:rsid w:val="6A3C1FDC"/>
    <w:rsid w:val="6A9F07BD"/>
    <w:rsid w:val="6AED19D9"/>
    <w:rsid w:val="6AF91C7B"/>
    <w:rsid w:val="6B23052E"/>
    <w:rsid w:val="6B3D7211"/>
    <w:rsid w:val="6B572E46"/>
    <w:rsid w:val="6B8C7363"/>
    <w:rsid w:val="6BC6285B"/>
    <w:rsid w:val="6C0C3C30"/>
    <w:rsid w:val="6C44161C"/>
    <w:rsid w:val="6C445178"/>
    <w:rsid w:val="6C4C04D0"/>
    <w:rsid w:val="6C807537"/>
    <w:rsid w:val="6C88775B"/>
    <w:rsid w:val="6DC04CD2"/>
    <w:rsid w:val="6E095948"/>
    <w:rsid w:val="6E7D7067"/>
    <w:rsid w:val="6EAB3BD4"/>
    <w:rsid w:val="6EEB3FD1"/>
    <w:rsid w:val="6F885CC3"/>
    <w:rsid w:val="6FAF14A2"/>
    <w:rsid w:val="70871064"/>
    <w:rsid w:val="709B1E21"/>
    <w:rsid w:val="70AD2634"/>
    <w:rsid w:val="70D94662"/>
    <w:rsid w:val="71B20DD6"/>
    <w:rsid w:val="71E00EF2"/>
    <w:rsid w:val="71F17B50"/>
    <w:rsid w:val="720C498A"/>
    <w:rsid w:val="73722F12"/>
    <w:rsid w:val="737F1166"/>
    <w:rsid w:val="74744A68"/>
    <w:rsid w:val="75656882"/>
    <w:rsid w:val="768371E5"/>
    <w:rsid w:val="76C03F95"/>
    <w:rsid w:val="76EF6628"/>
    <w:rsid w:val="77C41863"/>
    <w:rsid w:val="7803238B"/>
    <w:rsid w:val="785C021E"/>
    <w:rsid w:val="788C2381"/>
    <w:rsid w:val="7AC06311"/>
    <w:rsid w:val="7C4F3F13"/>
    <w:rsid w:val="7CE16A13"/>
    <w:rsid w:val="7D87580C"/>
    <w:rsid w:val="7DAC5273"/>
    <w:rsid w:val="7F343772"/>
    <w:rsid w:val="7F345520"/>
    <w:rsid w:val="7F604567"/>
    <w:rsid w:val="7F98785D"/>
    <w:rsid w:val="7FAC50B6"/>
    <w:rsid w:val="7FBF77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next w:val="1"/>
    <w:autoRedefine/>
    <w:qFormat/>
    <w:uiPriority w:val="9"/>
    <w:pPr>
      <w:keepNext/>
      <w:keepLines/>
      <w:spacing w:after="114" w:line="259" w:lineRule="auto"/>
      <w:ind w:left="627" w:hanging="10"/>
      <w:outlineLvl w:val="0"/>
    </w:pPr>
    <w:rPr>
      <w:rFonts w:ascii="Microsoft YaHei UI" w:hAnsi="Microsoft YaHei UI" w:eastAsia="Microsoft YaHei UI" w:cs="Microsoft YaHei UI"/>
      <w:b/>
      <w:color w:val="000000"/>
      <w:kern w:val="2"/>
      <w:sz w:val="24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customStyle="1" w:styleId="13">
    <w:name w:val="普通(网站) Char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3252</Words>
  <Characters>3650</Characters>
  <TotalTime>43</TotalTime>
  <ScaleCrop>false</ScaleCrop>
  <LinksUpToDate>false</LinksUpToDate>
  <CharactersWithSpaces>3745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2023-12-20T08:18:00Z</dcterms:created>
  <dc:creator>noider</dc:creator>
  <cp:lastModifiedBy>HLJ</cp:lastModifiedBy>
  <dcterms:modified xsi:type="dcterms:W3CDTF">2024-11-27T14:37:21Z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2023-12-25T22:23:21Z</vt:filetime>
  </property>
  <property fmtid="{D5CDD505-2E9C-101B-9397-08002B2CF9AE}" pid="4" name="KSOProductBuildVer">
    <vt:lpwstr>2052-12.1.0.18912</vt:lpwstr>
  </property>
  <property fmtid="{D5CDD505-2E9C-101B-9397-08002B2CF9AE}" pid="5" name="ICV">
    <vt:lpwstr>8C7D44E032774ADFA154C3832F8B6426_13</vt:lpwstr>
  </property>
</Properties>
</file>